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42AE3" w14:textId="77777777" w:rsidR="00DD2E9C" w:rsidRDefault="00DD2E9C" w:rsidP="00E50C6B">
      <w:pPr>
        <w:spacing w:line="480" w:lineRule="auto"/>
        <w:jc w:val="center"/>
        <w:rPr>
          <w:b/>
          <w:sz w:val="24"/>
          <w:szCs w:val="24"/>
        </w:rPr>
      </w:pPr>
    </w:p>
    <w:p w14:paraId="26EE2B18" w14:textId="77777777" w:rsidR="00DD2E9C" w:rsidRDefault="00DD2E9C" w:rsidP="00E50C6B">
      <w:pPr>
        <w:spacing w:line="480" w:lineRule="auto"/>
        <w:jc w:val="center"/>
        <w:rPr>
          <w:b/>
          <w:sz w:val="24"/>
          <w:szCs w:val="24"/>
        </w:rPr>
      </w:pPr>
    </w:p>
    <w:p w14:paraId="4A7F3BBB" w14:textId="0E23573E" w:rsidR="00906320" w:rsidRPr="00DD2E9C" w:rsidRDefault="00906320" w:rsidP="00E50C6B">
      <w:pPr>
        <w:spacing w:line="480" w:lineRule="auto"/>
        <w:jc w:val="center"/>
        <w:rPr>
          <w:sz w:val="24"/>
          <w:szCs w:val="24"/>
        </w:rPr>
      </w:pPr>
      <w:r w:rsidRPr="00DD2E9C">
        <w:rPr>
          <w:b/>
          <w:sz w:val="24"/>
          <w:szCs w:val="24"/>
        </w:rPr>
        <w:t>RRTC State of the Science</w:t>
      </w:r>
    </w:p>
    <w:p w14:paraId="0120E3BC" w14:textId="2A9F1FA1" w:rsidR="00E50C6B" w:rsidRPr="00DD2E9C" w:rsidRDefault="00E50C6B" w:rsidP="00DD2E9C">
      <w:pPr>
        <w:spacing w:line="480" w:lineRule="auto"/>
        <w:jc w:val="center"/>
        <w:rPr>
          <w:b/>
          <w:sz w:val="24"/>
          <w:szCs w:val="24"/>
        </w:rPr>
      </w:pPr>
      <w:r w:rsidRPr="00DD2E9C">
        <w:rPr>
          <w:b/>
          <w:sz w:val="24"/>
          <w:szCs w:val="24"/>
        </w:rPr>
        <w:t>Bringing Employment First to Scale:</w:t>
      </w:r>
      <w:r w:rsidR="00DD2E9C">
        <w:rPr>
          <w:b/>
          <w:sz w:val="24"/>
          <w:szCs w:val="24"/>
        </w:rPr>
        <w:t xml:space="preserve"> </w:t>
      </w:r>
      <w:bookmarkStart w:id="0" w:name="_GoBack"/>
      <w:bookmarkEnd w:id="0"/>
      <w:r w:rsidRPr="00DD2E9C">
        <w:rPr>
          <w:b/>
          <w:sz w:val="24"/>
          <w:szCs w:val="24"/>
        </w:rPr>
        <w:t xml:space="preserve">State systems and policy issues </w:t>
      </w:r>
    </w:p>
    <w:p w14:paraId="65CD56C5" w14:textId="77777777" w:rsidR="00E50C6B" w:rsidRPr="00DD2E9C" w:rsidRDefault="00E50C6B" w:rsidP="00E50C6B">
      <w:pPr>
        <w:spacing w:line="480" w:lineRule="auto"/>
        <w:rPr>
          <w:sz w:val="24"/>
          <w:szCs w:val="24"/>
        </w:rPr>
      </w:pPr>
    </w:p>
    <w:p w14:paraId="1186BB9B" w14:textId="77777777" w:rsidR="00E50C6B" w:rsidRPr="00DD2E9C" w:rsidRDefault="00E50C6B" w:rsidP="00E50C6B">
      <w:pPr>
        <w:spacing w:line="480" w:lineRule="auto"/>
        <w:rPr>
          <w:sz w:val="24"/>
          <w:szCs w:val="24"/>
          <w:u w:val="single"/>
        </w:rPr>
      </w:pPr>
      <w:r w:rsidRPr="00DD2E9C">
        <w:rPr>
          <w:sz w:val="24"/>
          <w:szCs w:val="24"/>
          <w:u w:val="single"/>
        </w:rPr>
        <w:t>Author Information:</w:t>
      </w:r>
    </w:p>
    <w:p w14:paraId="0EB719B2" w14:textId="0AEB509D" w:rsidR="00E50C6B" w:rsidRPr="00DD2E9C" w:rsidRDefault="00E50C6B" w:rsidP="00E50C6B">
      <w:pPr>
        <w:spacing w:line="480" w:lineRule="auto"/>
        <w:rPr>
          <w:rStyle w:val="Hyperlink"/>
          <w:rFonts w:eastAsia="Times New Roman"/>
          <w:sz w:val="24"/>
          <w:szCs w:val="24"/>
          <w:shd w:val="clear" w:color="auto" w:fill="FFFFFF"/>
        </w:rPr>
      </w:pPr>
      <w:r w:rsidRPr="00DD2E9C">
        <w:rPr>
          <w:sz w:val="24"/>
          <w:szCs w:val="24"/>
        </w:rPr>
        <w:t xml:space="preserve">Jean Winsor, PhD, University of Massachusetts Boston, Institute for Community Inclusion. 100 Morrissey Blvd., Boston, MA 02125, </w:t>
      </w:r>
      <w:r w:rsidRPr="00DD2E9C">
        <w:rPr>
          <w:rFonts w:eastAsia="Times New Roman"/>
          <w:color w:val="000000"/>
          <w:sz w:val="24"/>
          <w:szCs w:val="24"/>
          <w:shd w:val="clear" w:color="auto" w:fill="FFFFFF"/>
        </w:rPr>
        <w:t xml:space="preserve">617-287-4300, </w:t>
      </w:r>
      <w:hyperlink r:id="rId7" w:history="1">
        <w:r w:rsidRPr="00DD2E9C">
          <w:rPr>
            <w:rStyle w:val="Hyperlink"/>
            <w:rFonts w:eastAsia="Times New Roman"/>
            <w:sz w:val="24"/>
            <w:szCs w:val="24"/>
            <w:shd w:val="clear" w:color="auto" w:fill="FFFFFF"/>
          </w:rPr>
          <w:t>jean.winsor@umb.edu</w:t>
        </w:r>
      </w:hyperlink>
    </w:p>
    <w:p w14:paraId="257543AA" w14:textId="4383A106" w:rsidR="00E50C6B" w:rsidRPr="00DD2E9C" w:rsidRDefault="00E50C6B" w:rsidP="00E50C6B">
      <w:pPr>
        <w:spacing w:line="480" w:lineRule="auto"/>
        <w:rPr>
          <w:rStyle w:val="Hyperlink"/>
          <w:rFonts w:eastAsia="Times New Roman"/>
          <w:sz w:val="24"/>
          <w:szCs w:val="24"/>
          <w:shd w:val="clear" w:color="auto" w:fill="FFFFFF"/>
        </w:rPr>
      </w:pPr>
      <w:r w:rsidRPr="00DD2E9C">
        <w:rPr>
          <w:sz w:val="24"/>
          <w:szCs w:val="24"/>
        </w:rPr>
        <w:t xml:space="preserve">Allison Cohen Hall PhD, University of Massachusetts Boston, Institute for Community Inclusion. 100 Morrissey Blvd., Boston, MA 02125, </w:t>
      </w:r>
      <w:r w:rsidRPr="00DD2E9C">
        <w:rPr>
          <w:rFonts w:eastAsia="Times New Roman"/>
          <w:color w:val="000000"/>
          <w:sz w:val="24"/>
          <w:szCs w:val="24"/>
          <w:shd w:val="clear" w:color="auto" w:fill="FFFFFF"/>
        </w:rPr>
        <w:t xml:space="preserve">617-287-4300, </w:t>
      </w:r>
      <w:hyperlink r:id="rId8" w:history="1">
        <w:r w:rsidRPr="00DD2E9C">
          <w:rPr>
            <w:rStyle w:val="Hyperlink"/>
            <w:rFonts w:eastAsia="Times New Roman"/>
            <w:sz w:val="24"/>
            <w:szCs w:val="24"/>
            <w:shd w:val="clear" w:color="auto" w:fill="FFFFFF"/>
          </w:rPr>
          <w:t>allison.hall@umb.edu</w:t>
        </w:r>
      </w:hyperlink>
      <w:r w:rsidRPr="00DD2E9C">
        <w:rPr>
          <w:rFonts w:eastAsia="Times New Roman"/>
          <w:sz w:val="24"/>
          <w:szCs w:val="24"/>
          <w:shd w:val="clear" w:color="auto" w:fill="FFFFFF"/>
        </w:rPr>
        <w:t xml:space="preserve"> </w:t>
      </w:r>
    </w:p>
    <w:p w14:paraId="21618135" w14:textId="77777777" w:rsidR="00E50C6B" w:rsidRPr="00DD2E9C" w:rsidRDefault="00E50C6B" w:rsidP="00E50C6B">
      <w:pPr>
        <w:spacing w:line="480" w:lineRule="auto"/>
        <w:rPr>
          <w:sz w:val="24"/>
          <w:szCs w:val="24"/>
        </w:rPr>
      </w:pPr>
    </w:p>
    <w:p w14:paraId="34A682EE" w14:textId="77777777" w:rsidR="00E50C6B" w:rsidRPr="00DD2E9C" w:rsidRDefault="00E50C6B" w:rsidP="00E50C6B">
      <w:pPr>
        <w:spacing w:line="480" w:lineRule="auto"/>
        <w:rPr>
          <w:sz w:val="24"/>
          <w:szCs w:val="24"/>
        </w:rPr>
      </w:pPr>
    </w:p>
    <w:p w14:paraId="72F9B289" w14:textId="77777777" w:rsidR="00E50C6B" w:rsidRPr="00DD2E9C" w:rsidRDefault="00E50C6B" w:rsidP="00E50C6B">
      <w:pPr>
        <w:spacing w:line="480" w:lineRule="auto"/>
        <w:rPr>
          <w:sz w:val="24"/>
          <w:szCs w:val="24"/>
          <w:u w:val="single"/>
        </w:rPr>
      </w:pPr>
      <w:r w:rsidRPr="00DD2E9C">
        <w:rPr>
          <w:sz w:val="24"/>
          <w:szCs w:val="24"/>
          <w:u w:val="single"/>
        </w:rPr>
        <w:t xml:space="preserve">Funding: </w:t>
      </w:r>
    </w:p>
    <w:p w14:paraId="704315F2" w14:textId="77777777" w:rsidR="00E50C6B" w:rsidRPr="00DD2E9C" w:rsidRDefault="00E50C6B" w:rsidP="00E50C6B">
      <w:pPr>
        <w:spacing w:line="480" w:lineRule="auto"/>
        <w:rPr>
          <w:rFonts w:eastAsia="Times New Roman"/>
          <w:sz w:val="24"/>
          <w:szCs w:val="24"/>
        </w:rPr>
      </w:pPr>
      <w:r w:rsidRPr="00DD2E9C">
        <w:rPr>
          <w:rFonts w:eastAsia="Times New Roman"/>
          <w:sz w:val="24"/>
          <w:szCs w:val="24"/>
        </w:rPr>
        <w:t xml:space="preserve">The contents of this brief were developed under a grant from the National Institute on Disability, Independent Living, and Rehabilitation Research (NIDILRR Grant # 90RT5028-01-00) awarded to the Institute for Community Inclusion at UMass Boston, with a subcontract to the University of Minnesota. NIDILRR is a Center within the Administration for Community Living (ACL), Department of Health and Human Services (HHS). The contents of this brief do not </w:t>
      </w:r>
      <w:r w:rsidRPr="00DD2E9C">
        <w:rPr>
          <w:rFonts w:eastAsia="Times New Roman"/>
          <w:sz w:val="24"/>
          <w:szCs w:val="24"/>
        </w:rPr>
        <w:lastRenderedPageBreak/>
        <w:t>necessarily represent the policy of NIDILRR, ACL, HHS, and you should not assume endorsement by the Federal Government.</w:t>
      </w:r>
    </w:p>
    <w:p w14:paraId="58ADDF92" w14:textId="77777777" w:rsidR="00E50C6B" w:rsidRPr="00DD2E9C" w:rsidRDefault="00E50C6B" w:rsidP="00E50C6B">
      <w:pPr>
        <w:spacing w:line="480" w:lineRule="auto"/>
        <w:rPr>
          <w:rFonts w:eastAsia="Times New Roman"/>
          <w:sz w:val="24"/>
          <w:szCs w:val="24"/>
        </w:rPr>
      </w:pPr>
    </w:p>
    <w:p w14:paraId="26836013" w14:textId="77777777" w:rsidR="00E50C6B" w:rsidRPr="00DD2E9C" w:rsidRDefault="00E50C6B" w:rsidP="00E50C6B">
      <w:pPr>
        <w:spacing w:line="480" w:lineRule="auto"/>
        <w:rPr>
          <w:sz w:val="24"/>
          <w:szCs w:val="24"/>
        </w:rPr>
      </w:pPr>
      <w:r w:rsidRPr="00DD2E9C">
        <w:rPr>
          <w:sz w:val="24"/>
          <w:szCs w:val="24"/>
        </w:rPr>
        <w:br w:type="page"/>
      </w:r>
    </w:p>
    <w:p w14:paraId="4325450F" w14:textId="7CD6A4FC" w:rsidR="00E50C6B" w:rsidRPr="00DD2E9C" w:rsidRDefault="00906320" w:rsidP="003076DF">
      <w:pPr>
        <w:shd w:val="clear" w:color="auto" w:fill="FFFFFF"/>
        <w:spacing w:line="480" w:lineRule="auto"/>
        <w:rPr>
          <w:rFonts w:eastAsia="Times New Roman" w:cs="Times New Roman"/>
          <w:bCs/>
          <w:color w:val="283C46"/>
          <w:sz w:val="24"/>
          <w:szCs w:val="24"/>
          <w:u w:val="single"/>
        </w:rPr>
      </w:pPr>
      <w:r w:rsidRPr="00DD2E9C">
        <w:rPr>
          <w:rFonts w:eastAsia="Times New Roman" w:cs="Times New Roman"/>
          <w:bCs/>
          <w:color w:val="283C46"/>
          <w:sz w:val="24"/>
          <w:szCs w:val="24"/>
          <w:u w:val="single"/>
        </w:rPr>
        <w:lastRenderedPageBreak/>
        <w:t>Abstract</w:t>
      </w:r>
    </w:p>
    <w:p w14:paraId="603E2F96" w14:textId="1A9DC3AC" w:rsidR="00906320" w:rsidRPr="00DD2E9C" w:rsidRDefault="00906320" w:rsidP="00906320">
      <w:pPr>
        <w:spacing w:line="480" w:lineRule="auto"/>
        <w:rPr>
          <w:rFonts w:cs="Times New Roman"/>
          <w:bCs/>
          <w:sz w:val="24"/>
          <w:szCs w:val="24"/>
        </w:rPr>
      </w:pPr>
      <w:r w:rsidRPr="00DD2E9C">
        <w:rPr>
          <w:rFonts w:cs="Times New Roman"/>
          <w:bCs/>
          <w:sz w:val="24"/>
          <w:szCs w:val="24"/>
        </w:rPr>
        <w:t>The paper provides an overview of the employment policy landscape</w:t>
      </w:r>
      <w:r w:rsidRPr="00DD2E9C">
        <w:rPr>
          <w:rFonts w:cs="Times New Roman"/>
          <w:bCs/>
          <w:sz w:val="24"/>
          <w:szCs w:val="24"/>
        </w:rPr>
        <w:t xml:space="preserve"> for people with IDD and</w:t>
      </w:r>
      <w:r w:rsidRPr="00DD2E9C">
        <w:rPr>
          <w:rFonts w:cs="Times New Roman"/>
          <w:bCs/>
          <w:sz w:val="24"/>
          <w:szCs w:val="24"/>
        </w:rPr>
        <w:t xml:space="preserve"> describes findings from a series of related research projects</w:t>
      </w:r>
      <w:r w:rsidRPr="00DD2E9C">
        <w:rPr>
          <w:rFonts w:cs="Times New Roman"/>
          <w:bCs/>
          <w:sz w:val="24"/>
          <w:szCs w:val="24"/>
        </w:rPr>
        <w:t xml:space="preserve"> that address policies and practices of high performing state employment systems. Research activities included the development of a composite indicator that considers state performance across systems, case study research, and in-depth policy analysis. The discussion</w:t>
      </w:r>
      <w:r w:rsidRPr="00DD2E9C">
        <w:rPr>
          <w:rFonts w:cs="Times New Roman"/>
          <w:bCs/>
          <w:sz w:val="24"/>
          <w:szCs w:val="24"/>
        </w:rPr>
        <w:t xml:space="preserve"> focuses on applying the findings to advance our knowledge and refine priority areas for future study. </w:t>
      </w:r>
    </w:p>
    <w:p w14:paraId="07D71ED4" w14:textId="77777777" w:rsidR="00E50C6B" w:rsidRPr="00DD2E9C" w:rsidRDefault="00E50C6B" w:rsidP="003076DF">
      <w:pPr>
        <w:shd w:val="clear" w:color="auto" w:fill="FFFFFF"/>
        <w:spacing w:line="480" w:lineRule="auto"/>
        <w:rPr>
          <w:rFonts w:eastAsia="Times New Roman" w:cs="Times New Roman"/>
          <w:bCs/>
          <w:color w:val="283C46"/>
          <w:sz w:val="24"/>
          <w:szCs w:val="24"/>
          <w:u w:val="single"/>
        </w:rPr>
      </w:pPr>
    </w:p>
    <w:p w14:paraId="62C65E57" w14:textId="77777777" w:rsidR="00E50C6B" w:rsidRPr="00DD2E9C" w:rsidRDefault="00E50C6B" w:rsidP="003076DF">
      <w:pPr>
        <w:shd w:val="clear" w:color="auto" w:fill="FFFFFF"/>
        <w:spacing w:line="480" w:lineRule="auto"/>
        <w:rPr>
          <w:rFonts w:eastAsia="Times New Roman" w:cs="Times New Roman"/>
          <w:bCs/>
          <w:color w:val="283C46"/>
          <w:sz w:val="24"/>
          <w:szCs w:val="24"/>
          <w:u w:val="single"/>
        </w:rPr>
      </w:pPr>
    </w:p>
    <w:p w14:paraId="57DA3A33" w14:textId="77777777" w:rsidR="00DC380C" w:rsidRPr="00DD2E9C" w:rsidRDefault="00DC380C" w:rsidP="003076DF">
      <w:pPr>
        <w:shd w:val="clear" w:color="auto" w:fill="FFFFFF"/>
        <w:spacing w:line="480" w:lineRule="auto"/>
        <w:rPr>
          <w:rFonts w:eastAsia="Times New Roman" w:cs="Times New Roman"/>
          <w:bCs/>
          <w:color w:val="283C46"/>
          <w:sz w:val="24"/>
          <w:szCs w:val="24"/>
          <w:u w:val="single"/>
        </w:rPr>
      </w:pPr>
      <w:r w:rsidRPr="00DD2E9C">
        <w:rPr>
          <w:rFonts w:eastAsia="Times New Roman" w:cs="Times New Roman"/>
          <w:bCs/>
          <w:color w:val="283C46"/>
          <w:sz w:val="24"/>
          <w:szCs w:val="24"/>
          <w:u w:val="single"/>
        </w:rPr>
        <w:t>Introduction</w:t>
      </w:r>
    </w:p>
    <w:p w14:paraId="69F79070" w14:textId="3EA08EEB" w:rsidR="00DC380C" w:rsidRPr="003076DF" w:rsidRDefault="00DC380C" w:rsidP="00DC380C">
      <w:pPr>
        <w:spacing w:line="480" w:lineRule="auto"/>
        <w:rPr>
          <w:rFonts w:cs="Times New Roman"/>
          <w:sz w:val="24"/>
          <w:szCs w:val="24"/>
        </w:rPr>
      </w:pPr>
      <w:r w:rsidRPr="00DD2E9C">
        <w:rPr>
          <w:rFonts w:cs="Times New Roman"/>
          <w:sz w:val="24"/>
          <w:szCs w:val="24"/>
        </w:rPr>
        <w:t xml:space="preserve">Since the introduction of supported employment in the Developmental Disabilities Act of 1984 and the Rehabilitation Act Amendments of 1986, there has been continued development and refinement of best practices in employment services and supports. Progress includes demonstrations of creative outcomes for individuals with significant support needs, including customized jobs and self-employment, community rehabilitation providers that have shifted emphasis to integrated employment, and states that have made a substantial investment in Employment First policy and strategy. Despite these achievements, the promise of </w:t>
      </w:r>
      <w:r w:rsidR="002057A8" w:rsidRPr="00DD2E9C">
        <w:rPr>
          <w:rFonts w:cs="Times New Roman"/>
          <w:sz w:val="24"/>
          <w:szCs w:val="24"/>
        </w:rPr>
        <w:t xml:space="preserve">competitive and </w:t>
      </w:r>
      <w:r w:rsidRPr="00DD2E9C">
        <w:rPr>
          <w:rFonts w:cs="Times New Roman"/>
          <w:sz w:val="24"/>
          <w:szCs w:val="24"/>
        </w:rPr>
        <w:t>integrated employment has not been realized for many</w:t>
      </w:r>
      <w:r w:rsidRPr="003076DF">
        <w:rPr>
          <w:rFonts w:cs="Times New Roman"/>
          <w:sz w:val="24"/>
          <w:szCs w:val="24"/>
        </w:rPr>
        <w:t xml:space="preserve"> individuals with IDD. The number of individuals supported in integrated employment by state IDD agencies has remained stagnant for the past fifteen years, participation in non-work services has grown rapidly, and </w:t>
      </w:r>
      <w:r w:rsidRPr="003076DF">
        <w:rPr>
          <w:rFonts w:cs="Times New Roman"/>
          <w:sz w:val="24"/>
          <w:szCs w:val="24"/>
        </w:rPr>
        <w:lastRenderedPageBreak/>
        <w:t>individual employment supports are not implemented with fidelity to a consistent model or expectations (</w:t>
      </w:r>
      <w:r w:rsidR="00ED267F">
        <w:rPr>
          <w:rFonts w:cs="Times New Roman"/>
          <w:sz w:val="24"/>
          <w:szCs w:val="24"/>
        </w:rPr>
        <w:t>Winsor et al, 2017</w:t>
      </w:r>
      <w:r w:rsidRPr="003076DF">
        <w:rPr>
          <w:rFonts w:cs="Times New Roman"/>
          <w:sz w:val="24"/>
          <w:szCs w:val="24"/>
        </w:rPr>
        <w:t>).</w:t>
      </w:r>
    </w:p>
    <w:p w14:paraId="3992CDA4" w14:textId="11BB7CAF" w:rsidR="00DC380C" w:rsidRPr="003076DF" w:rsidRDefault="00DC380C" w:rsidP="003076DF">
      <w:pPr>
        <w:spacing w:line="480" w:lineRule="auto"/>
        <w:ind w:firstLine="720"/>
        <w:rPr>
          <w:rFonts w:cs="Times New Roman"/>
          <w:bCs/>
          <w:color w:val="000000"/>
          <w:sz w:val="24"/>
          <w:szCs w:val="24"/>
        </w:rPr>
      </w:pPr>
      <w:r w:rsidRPr="003076DF">
        <w:rPr>
          <w:rFonts w:cs="Times New Roman"/>
          <w:sz w:val="24"/>
          <w:szCs w:val="24"/>
        </w:rPr>
        <w:t xml:space="preserve">Responding to this need, the </w:t>
      </w:r>
      <w:r w:rsidRPr="003076DF">
        <w:rPr>
          <w:rFonts w:cs="Times New Roman"/>
          <w:bCs/>
          <w:color w:val="000000"/>
          <w:sz w:val="24"/>
          <w:szCs w:val="24"/>
        </w:rPr>
        <w:t xml:space="preserve">Rehabilitation Research and Training Center (RRTC) on Advancing Employment for Individuals with Intellectual and Developmental Disabilities is a research project housed at the Institute for Community Inclusion (ICI) at the University of Massachusetts Boston. It is part of the ICI’s </w:t>
      </w:r>
      <w:proofErr w:type="spellStart"/>
      <w:r w:rsidRPr="003076DF">
        <w:rPr>
          <w:rFonts w:cs="Times New Roman"/>
          <w:bCs/>
          <w:color w:val="000000"/>
          <w:sz w:val="24"/>
          <w:szCs w:val="24"/>
        </w:rPr>
        <w:t>ThinkWork</w:t>
      </w:r>
      <w:proofErr w:type="spellEnd"/>
      <w:r w:rsidRPr="003076DF">
        <w:rPr>
          <w:rFonts w:cs="Times New Roman"/>
          <w:bCs/>
          <w:color w:val="000000"/>
          <w:sz w:val="24"/>
          <w:szCs w:val="24"/>
        </w:rPr>
        <w:t xml:space="preserve">! </w:t>
      </w:r>
      <w:proofErr w:type="gramStart"/>
      <w:r w:rsidRPr="003076DF">
        <w:rPr>
          <w:rFonts w:cs="Times New Roman"/>
          <w:bCs/>
          <w:color w:val="000000"/>
          <w:sz w:val="24"/>
          <w:szCs w:val="24"/>
        </w:rPr>
        <w:t>initiative</w:t>
      </w:r>
      <w:proofErr w:type="gramEnd"/>
      <w:r w:rsidRPr="003076DF">
        <w:rPr>
          <w:rFonts w:cs="Times New Roman"/>
          <w:bCs/>
          <w:color w:val="000000"/>
          <w:sz w:val="24"/>
          <w:szCs w:val="24"/>
        </w:rPr>
        <w:t>, a group of projects promoting</w:t>
      </w:r>
      <w:r w:rsidR="003F0B4E">
        <w:rPr>
          <w:rFonts w:cs="Times New Roman"/>
          <w:bCs/>
          <w:color w:val="000000"/>
          <w:sz w:val="24"/>
          <w:szCs w:val="24"/>
        </w:rPr>
        <w:t xml:space="preserve"> the vision, values, and implementation of</w:t>
      </w:r>
      <w:r w:rsidRPr="003076DF">
        <w:rPr>
          <w:rFonts w:cs="Times New Roman"/>
          <w:bCs/>
          <w:color w:val="000000"/>
          <w:sz w:val="24"/>
          <w:szCs w:val="24"/>
        </w:rPr>
        <w:t xml:space="preserve"> employment </w:t>
      </w:r>
      <w:r w:rsidR="002057A8">
        <w:rPr>
          <w:rFonts w:cs="Times New Roman"/>
          <w:bCs/>
          <w:color w:val="000000"/>
          <w:sz w:val="24"/>
          <w:szCs w:val="24"/>
        </w:rPr>
        <w:t xml:space="preserve">in the community </w:t>
      </w:r>
      <w:r w:rsidRPr="003076DF">
        <w:rPr>
          <w:rFonts w:cs="Times New Roman"/>
          <w:bCs/>
          <w:color w:val="000000"/>
          <w:sz w:val="24"/>
          <w:szCs w:val="24"/>
        </w:rPr>
        <w:t>for people with IDD.</w:t>
      </w:r>
      <w:r w:rsidR="002057A8">
        <w:rPr>
          <w:rFonts w:cs="Times New Roman"/>
          <w:bCs/>
          <w:color w:val="000000"/>
          <w:sz w:val="24"/>
          <w:szCs w:val="24"/>
        </w:rPr>
        <w:t xml:space="preserve"> </w:t>
      </w:r>
      <w:r w:rsidR="002057A8">
        <w:rPr>
          <w:rFonts w:cs="Arial"/>
          <w:bCs/>
          <w:color w:val="000000"/>
          <w:sz w:val="24"/>
          <w:szCs w:val="24"/>
        </w:rPr>
        <w:t xml:space="preserve">The term “competitive and integrated employment” refers to </w:t>
      </w:r>
      <w:r w:rsidR="002057A8">
        <w:rPr>
          <w:sz w:val="24"/>
          <w:szCs w:val="24"/>
        </w:rPr>
        <w:t>full or part-time work at minimum wage or higher, with wages and benefits similar to those without disabilities performing the same work, and fully integrated with coworkers without disabilities (WIOA, 2014).</w:t>
      </w:r>
    </w:p>
    <w:p w14:paraId="4FE7D4CF" w14:textId="77777777" w:rsidR="00DC380C" w:rsidRPr="003076DF" w:rsidRDefault="00DC380C" w:rsidP="00DC380C">
      <w:pPr>
        <w:spacing w:line="480" w:lineRule="auto"/>
        <w:rPr>
          <w:rFonts w:cs="Times New Roman"/>
          <w:color w:val="000000"/>
          <w:sz w:val="24"/>
          <w:szCs w:val="24"/>
        </w:rPr>
      </w:pPr>
      <w:r w:rsidRPr="003076DF">
        <w:rPr>
          <w:rFonts w:cs="Times New Roman"/>
          <w:bCs/>
          <w:color w:val="000000"/>
          <w:sz w:val="24"/>
          <w:szCs w:val="24"/>
        </w:rPr>
        <w:t>The RRTC’s work covers 4 main areas: </w:t>
      </w:r>
    </w:p>
    <w:p w14:paraId="0BDBE6F0" w14:textId="77777777" w:rsidR="00DC380C" w:rsidRPr="003076DF" w:rsidRDefault="00DC380C" w:rsidP="00DC380C">
      <w:pPr>
        <w:spacing w:line="480" w:lineRule="auto"/>
        <w:ind w:left="720" w:hanging="360"/>
        <w:rPr>
          <w:rFonts w:cs="Times New Roman"/>
          <w:color w:val="000000"/>
          <w:sz w:val="24"/>
          <w:szCs w:val="24"/>
        </w:rPr>
      </w:pPr>
      <w:r w:rsidRPr="003076DF">
        <w:rPr>
          <w:rFonts w:cs="Times New Roman"/>
          <w:bCs/>
          <w:color w:val="000000"/>
          <w:sz w:val="24"/>
          <w:szCs w:val="24"/>
        </w:rPr>
        <w:t>1.</w:t>
      </w:r>
      <w:r w:rsidRPr="003076DF">
        <w:rPr>
          <w:rFonts w:cs="Times New Roman"/>
          <w:color w:val="000000"/>
          <w:sz w:val="24"/>
          <w:szCs w:val="24"/>
        </w:rPr>
        <w:t>  </w:t>
      </w:r>
      <w:r w:rsidRPr="003076DF">
        <w:rPr>
          <w:rFonts w:cs="Times New Roman"/>
          <w:bCs/>
          <w:color w:val="000000"/>
          <w:sz w:val="24"/>
          <w:szCs w:val="24"/>
        </w:rPr>
        <w:t>Sharing knowledge with and supporting individuals and families around employment.</w:t>
      </w:r>
    </w:p>
    <w:p w14:paraId="0E374195" w14:textId="05D87890" w:rsidR="00DC380C" w:rsidRPr="003076DF" w:rsidRDefault="00DC380C" w:rsidP="00DC380C">
      <w:pPr>
        <w:spacing w:line="480" w:lineRule="auto"/>
        <w:ind w:left="720" w:hanging="360"/>
        <w:rPr>
          <w:rFonts w:cs="Times New Roman"/>
          <w:color w:val="000000"/>
          <w:sz w:val="24"/>
          <w:szCs w:val="24"/>
        </w:rPr>
      </w:pPr>
      <w:r w:rsidRPr="003076DF">
        <w:rPr>
          <w:rFonts w:cs="Times New Roman"/>
          <w:bCs/>
          <w:color w:val="000000"/>
          <w:sz w:val="24"/>
          <w:szCs w:val="24"/>
        </w:rPr>
        <w:t>2.</w:t>
      </w:r>
      <w:r w:rsidRPr="003076DF">
        <w:rPr>
          <w:rFonts w:cs="Times New Roman"/>
          <w:color w:val="000000"/>
          <w:sz w:val="24"/>
          <w:szCs w:val="24"/>
        </w:rPr>
        <w:t>  </w:t>
      </w:r>
      <w:r w:rsidRPr="003076DF">
        <w:rPr>
          <w:rFonts w:cs="Times New Roman"/>
          <w:bCs/>
          <w:color w:val="000000"/>
          <w:sz w:val="24"/>
          <w:szCs w:val="24"/>
        </w:rPr>
        <w:t>Increasing the effectiveness of employment consultants</w:t>
      </w:r>
      <w:r w:rsidR="009F3A08">
        <w:rPr>
          <w:rFonts w:cs="Times New Roman"/>
          <w:bCs/>
          <w:color w:val="000000"/>
          <w:sz w:val="24"/>
          <w:szCs w:val="24"/>
        </w:rPr>
        <w:t xml:space="preserve"> who work directly with people with IDD to help them find and maintain employment. </w:t>
      </w:r>
    </w:p>
    <w:p w14:paraId="78DBB409" w14:textId="77777777" w:rsidR="00DC380C" w:rsidRPr="003076DF" w:rsidRDefault="00DC380C" w:rsidP="00DC380C">
      <w:pPr>
        <w:spacing w:line="480" w:lineRule="auto"/>
        <w:ind w:left="720" w:hanging="360"/>
        <w:rPr>
          <w:rFonts w:cs="Times New Roman"/>
          <w:color w:val="000000"/>
          <w:sz w:val="24"/>
          <w:szCs w:val="24"/>
        </w:rPr>
      </w:pPr>
      <w:r w:rsidRPr="003076DF">
        <w:rPr>
          <w:rFonts w:cs="Times New Roman"/>
          <w:bCs/>
          <w:color w:val="000000"/>
          <w:sz w:val="24"/>
          <w:szCs w:val="24"/>
        </w:rPr>
        <w:t>3.</w:t>
      </w:r>
      <w:r w:rsidRPr="003076DF">
        <w:rPr>
          <w:rFonts w:cs="Times New Roman"/>
          <w:color w:val="000000"/>
          <w:sz w:val="24"/>
          <w:szCs w:val="24"/>
        </w:rPr>
        <w:t>  </w:t>
      </w:r>
      <w:r w:rsidRPr="003076DF">
        <w:rPr>
          <w:rFonts w:cs="Times New Roman"/>
          <w:bCs/>
          <w:color w:val="000000"/>
          <w:sz w:val="24"/>
          <w:szCs w:val="24"/>
        </w:rPr>
        <w:t>Building capacity and supporting organizational change for community rehabilitation providers</w:t>
      </w:r>
    </w:p>
    <w:p w14:paraId="1F96C557" w14:textId="77777777" w:rsidR="00DC380C" w:rsidRPr="003076DF" w:rsidRDefault="00DC380C" w:rsidP="00DC380C">
      <w:pPr>
        <w:spacing w:line="480" w:lineRule="auto"/>
        <w:ind w:left="720" w:hanging="360"/>
        <w:rPr>
          <w:rFonts w:cs="Times New Roman"/>
          <w:bCs/>
          <w:color w:val="000000"/>
          <w:sz w:val="24"/>
          <w:szCs w:val="24"/>
        </w:rPr>
      </w:pPr>
      <w:r w:rsidRPr="003076DF">
        <w:rPr>
          <w:rFonts w:cs="Times New Roman"/>
          <w:bCs/>
          <w:color w:val="000000"/>
          <w:sz w:val="24"/>
          <w:szCs w:val="24"/>
        </w:rPr>
        <w:t>4.</w:t>
      </w:r>
      <w:r w:rsidRPr="003076DF">
        <w:rPr>
          <w:rFonts w:cs="Times New Roman"/>
          <w:color w:val="000000"/>
          <w:sz w:val="24"/>
          <w:szCs w:val="24"/>
        </w:rPr>
        <w:t>  </w:t>
      </w:r>
      <w:r w:rsidRPr="003076DF">
        <w:rPr>
          <w:rFonts w:cs="Times New Roman"/>
          <w:bCs/>
          <w:color w:val="000000"/>
          <w:sz w:val="24"/>
          <w:szCs w:val="24"/>
        </w:rPr>
        <w:t>Furthering policies and practices of high-performing state employment systems</w:t>
      </w:r>
    </w:p>
    <w:p w14:paraId="67B752F8" w14:textId="0E662BF5" w:rsidR="00755FA7" w:rsidRDefault="00755FA7" w:rsidP="00755FA7">
      <w:pPr>
        <w:spacing w:line="480" w:lineRule="auto"/>
        <w:rPr>
          <w:rFonts w:cs="Times New Roman"/>
          <w:bCs/>
          <w:sz w:val="24"/>
          <w:szCs w:val="24"/>
        </w:rPr>
      </w:pPr>
      <w:r w:rsidRPr="003076DF">
        <w:rPr>
          <w:rFonts w:cs="Times New Roman"/>
          <w:bCs/>
          <w:sz w:val="24"/>
          <w:szCs w:val="24"/>
        </w:rPr>
        <w:t>This paper covers Strand 4: Policies and Practices of High-Performing State Employment Systems.</w:t>
      </w:r>
      <w:r w:rsidR="00824F66">
        <w:rPr>
          <w:rFonts w:cs="Times New Roman"/>
          <w:bCs/>
          <w:sz w:val="24"/>
          <w:szCs w:val="24"/>
        </w:rPr>
        <w:t xml:space="preserve"> The paper provides an overview of the employment policy landscape, describes </w:t>
      </w:r>
      <w:r w:rsidR="00824F66">
        <w:rPr>
          <w:rFonts w:cs="Times New Roman"/>
          <w:bCs/>
          <w:sz w:val="24"/>
          <w:szCs w:val="24"/>
        </w:rPr>
        <w:lastRenderedPageBreak/>
        <w:t>fin</w:t>
      </w:r>
      <w:r w:rsidR="00906320">
        <w:rPr>
          <w:rFonts w:cs="Times New Roman"/>
          <w:bCs/>
          <w:sz w:val="24"/>
          <w:szCs w:val="24"/>
        </w:rPr>
        <w:t xml:space="preserve">dings from a series of </w:t>
      </w:r>
      <w:r w:rsidR="00824F66">
        <w:rPr>
          <w:rFonts w:cs="Times New Roman"/>
          <w:bCs/>
          <w:sz w:val="24"/>
          <w:szCs w:val="24"/>
        </w:rPr>
        <w:t>related research projects, and a discussion section that focuses on applying the findings to advance our knowledge and refine priority areas for future study.</w:t>
      </w:r>
      <w:r w:rsidR="00CD76BF">
        <w:rPr>
          <w:rFonts w:cs="Times New Roman"/>
          <w:bCs/>
          <w:sz w:val="24"/>
          <w:szCs w:val="24"/>
        </w:rPr>
        <w:t xml:space="preserve"> The research questions that guided this strand of research include: </w:t>
      </w:r>
    </w:p>
    <w:p w14:paraId="778032F4" w14:textId="77777777" w:rsidR="00B9617D" w:rsidRPr="0068562A" w:rsidRDefault="00394A05" w:rsidP="0068562A">
      <w:pPr>
        <w:numPr>
          <w:ilvl w:val="0"/>
          <w:numId w:val="12"/>
        </w:numPr>
        <w:spacing w:line="480" w:lineRule="auto"/>
        <w:rPr>
          <w:rFonts w:cs="Times New Roman"/>
          <w:bCs/>
          <w:sz w:val="24"/>
          <w:szCs w:val="24"/>
        </w:rPr>
      </w:pPr>
      <w:r w:rsidRPr="0068562A">
        <w:rPr>
          <w:rFonts w:cs="Times New Roman"/>
          <w:bCs/>
          <w:sz w:val="24"/>
          <w:szCs w:val="24"/>
        </w:rPr>
        <w:t>What are the characteristics of higher-performing employment systems?</w:t>
      </w:r>
    </w:p>
    <w:p w14:paraId="6C6E9B67" w14:textId="0233B865" w:rsidR="00CD76BF" w:rsidRPr="0068562A" w:rsidRDefault="00394A05" w:rsidP="00755FA7">
      <w:pPr>
        <w:numPr>
          <w:ilvl w:val="0"/>
          <w:numId w:val="12"/>
        </w:numPr>
        <w:spacing w:line="480" w:lineRule="auto"/>
        <w:rPr>
          <w:rFonts w:cs="Times New Roman"/>
          <w:bCs/>
          <w:sz w:val="24"/>
          <w:szCs w:val="24"/>
        </w:rPr>
      </w:pPr>
      <w:r w:rsidRPr="0068562A">
        <w:rPr>
          <w:rFonts w:cs="Times New Roman"/>
          <w:bCs/>
          <w:sz w:val="24"/>
          <w:szCs w:val="24"/>
        </w:rPr>
        <w:t>What is the relationship between systems’ characteristics and employment outcomes?</w:t>
      </w:r>
    </w:p>
    <w:p w14:paraId="5F89D594" w14:textId="5C49DC87" w:rsidR="00C0256D" w:rsidRPr="003076DF" w:rsidRDefault="00755FA7" w:rsidP="00C0256D">
      <w:pPr>
        <w:spacing w:after="0" w:line="480" w:lineRule="auto"/>
        <w:textAlignment w:val="baseline"/>
        <w:rPr>
          <w:rFonts w:eastAsia="Times New Roman" w:cs="Times New Roman"/>
          <w:color w:val="000000"/>
          <w:sz w:val="24"/>
          <w:szCs w:val="24"/>
        </w:rPr>
      </w:pPr>
      <w:r w:rsidRPr="003076DF">
        <w:rPr>
          <w:rFonts w:eastAsia="Times New Roman" w:cs="Times New Roman"/>
          <w:color w:val="000000"/>
          <w:sz w:val="24"/>
          <w:szCs w:val="24"/>
          <w:u w:val="single"/>
        </w:rPr>
        <w:t>Background</w:t>
      </w:r>
      <w:r w:rsidR="0057035C" w:rsidRPr="003076DF">
        <w:rPr>
          <w:rFonts w:eastAsia="Times New Roman" w:cs="Times New Roman"/>
          <w:color w:val="000000"/>
          <w:sz w:val="24"/>
          <w:szCs w:val="24"/>
        </w:rPr>
        <w:t xml:space="preserve"> </w:t>
      </w:r>
    </w:p>
    <w:p w14:paraId="215402C3" w14:textId="3147757C" w:rsidR="003F5F9C" w:rsidRPr="003076DF" w:rsidRDefault="003F5F9C" w:rsidP="00CB6921">
      <w:pPr>
        <w:spacing w:after="0" w:line="480" w:lineRule="auto"/>
        <w:ind w:firstLine="720"/>
        <w:textAlignment w:val="baseline"/>
        <w:rPr>
          <w:rFonts w:cs="Times New Roman"/>
          <w:sz w:val="24"/>
          <w:szCs w:val="24"/>
        </w:rPr>
      </w:pPr>
      <w:r w:rsidRPr="003076DF">
        <w:rPr>
          <w:rFonts w:cs="Times New Roman"/>
          <w:sz w:val="24"/>
          <w:szCs w:val="24"/>
        </w:rPr>
        <w:t xml:space="preserve">Employment is culturally and economically critical for providing opportunities to thrive as an individual </w:t>
      </w:r>
      <w:r w:rsidR="00F55E99" w:rsidRPr="003076DF">
        <w:rPr>
          <w:rFonts w:cs="Times New Roman"/>
          <w:sz w:val="24"/>
          <w:szCs w:val="24"/>
        </w:rPr>
        <w:t xml:space="preserve">and a </w:t>
      </w:r>
      <w:r w:rsidRPr="003076DF">
        <w:rPr>
          <w:rFonts w:cs="Times New Roman"/>
          <w:sz w:val="24"/>
          <w:szCs w:val="24"/>
        </w:rPr>
        <w:t>community member. State and local efforts, in concert with federa</w:t>
      </w:r>
      <w:r w:rsidR="00FA4983" w:rsidRPr="003076DF">
        <w:rPr>
          <w:rFonts w:cs="Times New Roman"/>
          <w:sz w:val="24"/>
          <w:szCs w:val="24"/>
        </w:rPr>
        <w:t>l regulations, are aligning</w:t>
      </w:r>
      <w:r w:rsidR="008871C7">
        <w:rPr>
          <w:rFonts w:cs="Times New Roman"/>
          <w:sz w:val="24"/>
          <w:szCs w:val="24"/>
        </w:rPr>
        <w:t xml:space="preserve"> to support</w:t>
      </w:r>
      <w:r w:rsidRPr="003076DF">
        <w:rPr>
          <w:rFonts w:cs="Times New Roman"/>
          <w:sz w:val="24"/>
          <w:szCs w:val="24"/>
        </w:rPr>
        <w:t xml:space="preserve"> individuals</w:t>
      </w:r>
      <w:r w:rsidR="00FA4983" w:rsidRPr="003076DF">
        <w:rPr>
          <w:rFonts w:cs="Times New Roman"/>
          <w:sz w:val="24"/>
          <w:szCs w:val="24"/>
        </w:rPr>
        <w:t xml:space="preserve"> </w:t>
      </w:r>
      <w:r w:rsidR="00C11C78" w:rsidRPr="003076DF">
        <w:rPr>
          <w:rFonts w:cs="Times New Roman"/>
          <w:sz w:val="24"/>
          <w:szCs w:val="24"/>
        </w:rPr>
        <w:t xml:space="preserve">with </w:t>
      </w:r>
      <w:r w:rsidR="00103B30" w:rsidRPr="003076DF">
        <w:rPr>
          <w:rFonts w:cs="Times New Roman"/>
          <w:sz w:val="24"/>
          <w:szCs w:val="24"/>
        </w:rPr>
        <w:t xml:space="preserve">intellectual and developmental </w:t>
      </w:r>
      <w:r w:rsidR="00C11C78" w:rsidRPr="003076DF">
        <w:rPr>
          <w:rFonts w:cs="Times New Roman"/>
          <w:sz w:val="24"/>
          <w:szCs w:val="24"/>
        </w:rPr>
        <w:t xml:space="preserve">disabilities to </w:t>
      </w:r>
      <w:r w:rsidR="00FA4983" w:rsidRPr="003076DF">
        <w:rPr>
          <w:rFonts w:cs="Times New Roman"/>
          <w:sz w:val="24"/>
          <w:szCs w:val="24"/>
        </w:rPr>
        <w:t xml:space="preserve">move out of poverty and into the workforce. </w:t>
      </w:r>
      <w:r w:rsidRPr="003076DF">
        <w:rPr>
          <w:rFonts w:cs="Times New Roman"/>
          <w:sz w:val="24"/>
          <w:szCs w:val="24"/>
        </w:rPr>
        <w:t xml:space="preserve">The U.S. Department of Labor and federal offices that serve people with disabilities are working together to promote Employment First policies (U.S. DOL, no date). </w:t>
      </w:r>
      <w:r w:rsidR="007E7F84" w:rsidRPr="003076DF">
        <w:rPr>
          <w:rFonts w:cs="Times New Roman"/>
          <w:sz w:val="24"/>
          <w:szCs w:val="24"/>
        </w:rPr>
        <w:t xml:space="preserve">“Employment First” means that employment is the first and preferred option when exploring goals and a life path for citizens with disabilities (APSE, 2010). </w:t>
      </w:r>
      <w:r w:rsidRPr="003076DF">
        <w:rPr>
          <w:rFonts w:cs="Times New Roman"/>
          <w:sz w:val="24"/>
          <w:szCs w:val="24"/>
        </w:rPr>
        <w:t xml:space="preserve">At the time of this writing, almost every state has some type of Employment First initiative, policy, or grassroots effort, with 32 states having an official policy or directive (Hoff, 2016). The introduction of Employment First policies has been an important step toward helping people with disabilities participate fully in society, </w:t>
      </w:r>
      <w:r w:rsidR="00FA4983" w:rsidRPr="003076DF">
        <w:rPr>
          <w:rFonts w:cs="Times New Roman"/>
          <w:sz w:val="24"/>
          <w:szCs w:val="24"/>
        </w:rPr>
        <w:t>expand their social and economic capital,</w:t>
      </w:r>
      <w:r w:rsidRPr="003076DF">
        <w:rPr>
          <w:rFonts w:cs="Times New Roman"/>
          <w:sz w:val="24"/>
          <w:szCs w:val="24"/>
        </w:rPr>
        <w:t xml:space="preserve"> and </w:t>
      </w:r>
      <w:r w:rsidR="00FA4983" w:rsidRPr="003076DF">
        <w:rPr>
          <w:rFonts w:cs="Times New Roman"/>
          <w:sz w:val="24"/>
          <w:szCs w:val="24"/>
        </w:rPr>
        <w:t xml:space="preserve">move towards self-sufficiency </w:t>
      </w:r>
      <w:r w:rsidRPr="003076DF">
        <w:rPr>
          <w:rFonts w:cs="Times New Roman"/>
          <w:sz w:val="24"/>
          <w:szCs w:val="24"/>
        </w:rPr>
        <w:t>(</w:t>
      </w:r>
      <w:r w:rsidR="00ED267F">
        <w:rPr>
          <w:rFonts w:cs="Times New Roman"/>
          <w:sz w:val="24"/>
          <w:szCs w:val="24"/>
        </w:rPr>
        <w:t>Winsor et al, 2017</w:t>
      </w:r>
      <w:r w:rsidRPr="003076DF">
        <w:rPr>
          <w:rFonts w:cs="Times New Roman"/>
          <w:sz w:val="24"/>
          <w:szCs w:val="24"/>
        </w:rPr>
        <w:t xml:space="preserve">). </w:t>
      </w:r>
    </w:p>
    <w:p w14:paraId="25C8CC6E" w14:textId="797AA733" w:rsidR="00F51BDD" w:rsidRPr="003076DF" w:rsidRDefault="0057035C" w:rsidP="00CB6921">
      <w:pPr>
        <w:spacing w:after="0" w:line="480" w:lineRule="auto"/>
        <w:ind w:firstLine="720"/>
        <w:textAlignment w:val="baseline"/>
        <w:rPr>
          <w:rFonts w:cs="Times New Roman"/>
          <w:sz w:val="24"/>
          <w:szCs w:val="24"/>
        </w:rPr>
      </w:pPr>
      <w:r w:rsidRPr="003076DF">
        <w:rPr>
          <w:rFonts w:cs="Times New Roman"/>
          <w:sz w:val="24"/>
          <w:szCs w:val="24"/>
        </w:rPr>
        <w:t xml:space="preserve">At the national level, integrated employment has become a policy priority. Greater expectations are being placed on those charged with delivering employment supports, and disability systems are responding. </w:t>
      </w:r>
      <w:r w:rsidR="00CB6921" w:rsidRPr="003076DF">
        <w:rPr>
          <w:rFonts w:cs="Times New Roman"/>
          <w:sz w:val="24"/>
          <w:szCs w:val="24"/>
        </w:rPr>
        <w:t>However, as a SABE representative notes, “</w:t>
      </w:r>
      <w:r w:rsidR="00E94375" w:rsidRPr="003076DF">
        <w:rPr>
          <w:rFonts w:cs="Times New Roman"/>
          <w:sz w:val="24"/>
          <w:szCs w:val="24"/>
        </w:rPr>
        <w:t xml:space="preserve">just calling your </w:t>
      </w:r>
      <w:r w:rsidR="00E94375" w:rsidRPr="003076DF">
        <w:rPr>
          <w:rFonts w:cs="Times New Roman"/>
          <w:sz w:val="24"/>
          <w:szCs w:val="24"/>
        </w:rPr>
        <w:lastRenderedPageBreak/>
        <w:t>state an</w:t>
      </w:r>
      <w:r w:rsidR="00CB6921" w:rsidRPr="003076DF">
        <w:rPr>
          <w:rFonts w:cs="Times New Roman"/>
          <w:sz w:val="24"/>
          <w:szCs w:val="24"/>
        </w:rPr>
        <w:t xml:space="preserve"> ‘Employment First’ state is not enough; it’s when everyone who wants a job, actually has a job.” (SABE, 2016). Data shows that </w:t>
      </w:r>
      <w:r w:rsidRPr="003076DF">
        <w:rPr>
          <w:rFonts w:cs="Times New Roman"/>
          <w:sz w:val="24"/>
          <w:szCs w:val="24"/>
        </w:rPr>
        <w:t xml:space="preserve">the promise of </w:t>
      </w:r>
      <w:r w:rsidR="00E94375" w:rsidRPr="003076DF">
        <w:rPr>
          <w:rFonts w:cs="Times New Roman"/>
          <w:sz w:val="24"/>
          <w:szCs w:val="24"/>
        </w:rPr>
        <w:t xml:space="preserve">Employment First </w:t>
      </w:r>
      <w:r w:rsidRPr="003076DF">
        <w:rPr>
          <w:rFonts w:cs="Times New Roman"/>
          <w:sz w:val="24"/>
          <w:szCs w:val="24"/>
        </w:rPr>
        <w:t xml:space="preserve">has yet to be realized for </w:t>
      </w:r>
      <w:r w:rsidR="00E94375" w:rsidRPr="003076DF">
        <w:rPr>
          <w:rFonts w:cs="Times New Roman"/>
          <w:sz w:val="24"/>
          <w:szCs w:val="24"/>
        </w:rPr>
        <w:t xml:space="preserve">the majority of </w:t>
      </w:r>
      <w:r w:rsidRPr="003076DF">
        <w:rPr>
          <w:rFonts w:cs="Times New Roman"/>
          <w:sz w:val="24"/>
          <w:szCs w:val="24"/>
        </w:rPr>
        <w:t xml:space="preserve">individuals with intellectual and developmental disabilities (IDD). The number of individuals supported in integrated employment by state IDD agencies has remained the same since 2000, participation in non-work services has grown rapidly, and promising practices for employment supports identified in the research are not widely implemented. </w:t>
      </w:r>
    </w:p>
    <w:p w14:paraId="45E8091C" w14:textId="6280CFB5" w:rsidR="0057035C" w:rsidRPr="003076DF" w:rsidRDefault="0057035C" w:rsidP="005730A1">
      <w:pPr>
        <w:spacing w:after="0" w:line="480" w:lineRule="auto"/>
        <w:textAlignment w:val="baseline"/>
        <w:rPr>
          <w:rFonts w:eastAsia="Times New Roman" w:cs="Times New Roman"/>
          <w:color w:val="000000"/>
          <w:sz w:val="24"/>
          <w:szCs w:val="24"/>
        </w:rPr>
      </w:pPr>
      <w:r w:rsidRPr="003076DF">
        <w:rPr>
          <w:rFonts w:eastAsia="Times New Roman" w:cs="Times New Roman"/>
          <w:color w:val="000000"/>
          <w:sz w:val="24"/>
          <w:szCs w:val="24"/>
          <w:u w:val="single"/>
        </w:rPr>
        <w:t xml:space="preserve">Literature review </w:t>
      </w:r>
    </w:p>
    <w:p w14:paraId="4FDB0CF4" w14:textId="50AF625A" w:rsidR="008F375B" w:rsidRPr="003076DF" w:rsidRDefault="00F0322B" w:rsidP="00CC6C7D">
      <w:pPr>
        <w:spacing w:after="0" w:line="480" w:lineRule="auto"/>
        <w:ind w:firstLine="720"/>
        <w:textAlignment w:val="baseline"/>
        <w:rPr>
          <w:rFonts w:eastAsia="Times New Roman" w:cs="Times New Roman"/>
          <w:color w:val="000000"/>
          <w:sz w:val="24"/>
          <w:szCs w:val="24"/>
        </w:rPr>
      </w:pPr>
      <w:r w:rsidRPr="003076DF">
        <w:rPr>
          <w:rFonts w:eastAsia="Times New Roman" w:cs="Times New Roman"/>
          <w:color w:val="000000"/>
          <w:sz w:val="24"/>
          <w:szCs w:val="24"/>
        </w:rPr>
        <w:t>With an increasing emphasis on integrated employment and an</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 xml:space="preserve">Employment First philosophy, the nation is poised for </w:t>
      </w:r>
      <w:r w:rsidR="009D7593" w:rsidRPr="003076DF">
        <w:rPr>
          <w:rFonts w:eastAsia="Times New Roman" w:cs="Times New Roman"/>
          <w:color w:val="000000"/>
          <w:sz w:val="24"/>
          <w:szCs w:val="24"/>
        </w:rPr>
        <w:t>t</w:t>
      </w:r>
      <w:r w:rsidRPr="003076DF">
        <w:rPr>
          <w:rFonts w:eastAsia="Times New Roman" w:cs="Times New Roman"/>
          <w:color w:val="000000"/>
          <w:sz w:val="24"/>
          <w:szCs w:val="24"/>
        </w:rPr>
        <w:t xml:space="preserve">ransformation that could put </w:t>
      </w:r>
      <w:r w:rsidR="00824F66">
        <w:rPr>
          <w:rFonts w:eastAsia="Times New Roman" w:cs="Times New Roman"/>
          <w:color w:val="000000"/>
          <w:sz w:val="24"/>
          <w:szCs w:val="24"/>
        </w:rPr>
        <w:t xml:space="preserve">impoverished </w:t>
      </w:r>
      <w:r w:rsidRPr="003076DF">
        <w:rPr>
          <w:rFonts w:eastAsia="Times New Roman" w:cs="Times New Roman"/>
          <w:color w:val="000000"/>
          <w:sz w:val="24"/>
          <w:szCs w:val="24"/>
        </w:rPr>
        <w:t>Americans with disabilities on a</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 xml:space="preserve">path </w:t>
      </w:r>
      <w:r w:rsidR="00824F66">
        <w:rPr>
          <w:rFonts w:eastAsia="Times New Roman" w:cs="Times New Roman"/>
          <w:color w:val="000000"/>
          <w:sz w:val="24"/>
          <w:szCs w:val="24"/>
        </w:rPr>
        <w:t>to self-sufficiency.</w:t>
      </w:r>
      <w:r w:rsidR="00CC6C7D" w:rsidRPr="003076DF">
        <w:rPr>
          <w:rFonts w:eastAsia="Times New Roman" w:cs="Times New Roman"/>
          <w:color w:val="000000"/>
          <w:sz w:val="24"/>
          <w:szCs w:val="24"/>
        </w:rPr>
        <w:t xml:space="preserve"> </w:t>
      </w:r>
      <w:r w:rsidRPr="003076DF">
        <w:rPr>
          <w:rFonts w:eastAsia="Times New Roman" w:cs="Times New Roman"/>
          <w:color w:val="000000"/>
          <w:sz w:val="24"/>
          <w:szCs w:val="24"/>
        </w:rPr>
        <w:t>However, there remains a significant gap in employment rates between people with and without disabilities. The</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2014 American Community Survey (ACS) estimates that 33.7% of working-age adults with disabilities are employed,</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compared with 72.9% of people without disabilities (Butterworth et al., 2016)</w:t>
      </w:r>
      <w:r w:rsidR="00D3201A">
        <w:rPr>
          <w:rFonts w:eastAsia="Times New Roman" w:cs="Times New Roman"/>
          <w:color w:val="000000"/>
          <w:sz w:val="24"/>
          <w:szCs w:val="24"/>
        </w:rPr>
        <w:t>. Labor force statistics from the Bureau of Labor Statistics for March, 2017</w:t>
      </w:r>
      <w:r w:rsidRPr="003076DF">
        <w:rPr>
          <w:rFonts w:eastAsia="Times New Roman" w:cs="Times New Roman"/>
          <w:color w:val="000000"/>
          <w:sz w:val="24"/>
          <w:szCs w:val="24"/>
        </w:rPr>
        <w:t xml:space="preserve"> </w:t>
      </w:r>
      <w:r w:rsidR="00D3201A">
        <w:rPr>
          <w:rFonts w:eastAsia="Times New Roman" w:cs="Times New Roman"/>
          <w:color w:val="000000"/>
          <w:sz w:val="24"/>
          <w:szCs w:val="24"/>
        </w:rPr>
        <w:t>estimate that 20.4</w:t>
      </w:r>
      <w:r w:rsidRPr="003076DF">
        <w:rPr>
          <w:rFonts w:eastAsia="Times New Roman" w:cs="Times New Roman"/>
          <w:color w:val="000000"/>
          <w:sz w:val="24"/>
          <w:szCs w:val="24"/>
        </w:rPr>
        <w:t xml:space="preserve">% of individuals with disabilities ages 16 to 64 are employed, compared with </w:t>
      </w:r>
      <w:r w:rsidR="00D3201A">
        <w:rPr>
          <w:rFonts w:eastAsia="Times New Roman" w:cs="Times New Roman"/>
          <w:color w:val="000000"/>
          <w:sz w:val="24"/>
          <w:szCs w:val="24"/>
        </w:rPr>
        <w:t>68.7</w:t>
      </w:r>
      <w:r w:rsidRPr="003076DF">
        <w:rPr>
          <w:rFonts w:eastAsia="Times New Roman" w:cs="Times New Roman"/>
          <w:color w:val="000000"/>
          <w:sz w:val="24"/>
          <w:szCs w:val="24"/>
        </w:rPr>
        <w:t>% of those without</w:t>
      </w:r>
      <w:r w:rsidR="009D7593" w:rsidRPr="003076DF">
        <w:rPr>
          <w:rFonts w:eastAsia="Times New Roman" w:cs="Times New Roman"/>
          <w:color w:val="000000"/>
          <w:sz w:val="24"/>
          <w:szCs w:val="24"/>
        </w:rPr>
        <w:t xml:space="preserve"> </w:t>
      </w:r>
      <w:r w:rsidR="00D3201A">
        <w:rPr>
          <w:rFonts w:eastAsia="Times New Roman" w:cs="Times New Roman"/>
          <w:color w:val="000000"/>
          <w:sz w:val="24"/>
          <w:szCs w:val="24"/>
        </w:rPr>
        <w:t>disabilities.</w:t>
      </w:r>
      <w:r w:rsidR="00D3201A" w:rsidRPr="003076DF">
        <w:rPr>
          <w:rFonts w:eastAsia="Times New Roman" w:cs="Times New Roman"/>
          <w:color w:val="000000"/>
          <w:sz w:val="24"/>
          <w:szCs w:val="24"/>
        </w:rPr>
        <w:t xml:space="preserve"> </w:t>
      </w:r>
    </w:p>
    <w:p w14:paraId="1C099C4D" w14:textId="0F84CD22" w:rsidR="0057035C" w:rsidRPr="003076DF" w:rsidRDefault="00F0322B" w:rsidP="00103B30">
      <w:pPr>
        <w:spacing w:after="0" w:line="480" w:lineRule="auto"/>
        <w:ind w:firstLine="720"/>
        <w:textAlignment w:val="baseline"/>
        <w:rPr>
          <w:rFonts w:eastAsia="Times New Roman" w:cs="Times New Roman"/>
          <w:color w:val="000000"/>
          <w:sz w:val="24"/>
          <w:szCs w:val="24"/>
        </w:rPr>
      </w:pPr>
      <w:r w:rsidRPr="003076DF">
        <w:rPr>
          <w:rFonts w:eastAsia="Times New Roman" w:cs="Times New Roman"/>
          <w:color w:val="000000"/>
          <w:sz w:val="24"/>
          <w:szCs w:val="24"/>
        </w:rPr>
        <w:t>For people with intellectual and developmental disabilities (IDD),</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the disparity in employment participation widens further. Data from the National Core Indicators Project</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suggest that in 2</w:t>
      </w:r>
      <w:r w:rsidR="00D3201A">
        <w:rPr>
          <w:rFonts w:eastAsia="Times New Roman" w:cs="Times New Roman"/>
          <w:color w:val="000000"/>
          <w:sz w:val="24"/>
          <w:szCs w:val="24"/>
        </w:rPr>
        <w:t>014</w:t>
      </w:r>
      <w:r w:rsidRPr="003076DF">
        <w:rPr>
          <w:rFonts w:eastAsia="Times New Roman" w:cs="Times New Roman"/>
          <w:color w:val="000000"/>
          <w:sz w:val="24"/>
          <w:szCs w:val="24"/>
        </w:rPr>
        <w:t>–201</w:t>
      </w:r>
      <w:r w:rsidR="00D3201A">
        <w:rPr>
          <w:rFonts w:eastAsia="Times New Roman" w:cs="Times New Roman"/>
          <w:color w:val="000000"/>
          <w:sz w:val="24"/>
          <w:szCs w:val="24"/>
        </w:rPr>
        <w:t>5</w:t>
      </w:r>
      <w:r w:rsidRPr="003076DF">
        <w:rPr>
          <w:rFonts w:eastAsia="Times New Roman" w:cs="Times New Roman"/>
          <w:color w:val="000000"/>
          <w:sz w:val="24"/>
          <w:szCs w:val="24"/>
        </w:rPr>
        <w:t>, only 16% of working-age adults supported by state IDD agencies were employed in a paid</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job in the community (</w:t>
      </w:r>
      <w:proofErr w:type="spellStart"/>
      <w:r w:rsidRPr="003076DF">
        <w:rPr>
          <w:rFonts w:eastAsia="Times New Roman" w:cs="Times New Roman"/>
          <w:color w:val="000000"/>
          <w:sz w:val="24"/>
          <w:szCs w:val="24"/>
        </w:rPr>
        <w:t>Hiersteiner</w:t>
      </w:r>
      <w:proofErr w:type="spellEnd"/>
      <w:r w:rsidRPr="003076DF">
        <w:rPr>
          <w:rFonts w:eastAsia="Times New Roman" w:cs="Times New Roman"/>
          <w:color w:val="000000"/>
          <w:sz w:val="24"/>
          <w:szCs w:val="24"/>
        </w:rPr>
        <w:t xml:space="preserve">, </w:t>
      </w:r>
      <w:proofErr w:type="spellStart"/>
      <w:r w:rsidRPr="003076DF">
        <w:rPr>
          <w:rFonts w:eastAsia="Times New Roman" w:cs="Times New Roman"/>
          <w:color w:val="000000"/>
          <w:sz w:val="24"/>
          <w:szCs w:val="24"/>
        </w:rPr>
        <w:t>Bershadsky</w:t>
      </w:r>
      <w:proofErr w:type="spellEnd"/>
      <w:r w:rsidRPr="003076DF">
        <w:rPr>
          <w:rFonts w:eastAsia="Times New Roman" w:cs="Times New Roman"/>
          <w:color w:val="000000"/>
          <w:sz w:val="24"/>
          <w:szCs w:val="24"/>
        </w:rPr>
        <w:t xml:space="preserve">, </w:t>
      </w:r>
      <w:proofErr w:type="spellStart"/>
      <w:r w:rsidRPr="003076DF">
        <w:rPr>
          <w:rFonts w:eastAsia="Times New Roman" w:cs="Times New Roman"/>
          <w:color w:val="000000"/>
          <w:sz w:val="24"/>
          <w:szCs w:val="24"/>
        </w:rPr>
        <w:t>Bonardi</w:t>
      </w:r>
      <w:proofErr w:type="spellEnd"/>
      <w:r w:rsidRPr="003076DF">
        <w:rPr>
          <w:rFonts w:eastAsia="Times New Roman" w:cs="Times New Roman"/>
          <w:color w:val="000000"/>
          <w:sz w:val="24"/>
          <w:szCs w:val="24"/>
        </w:rPr>
        <w:t>, &amp; Butterworth, 2016).</w:t>
      </w:r>
      <w:r w:rsidR="00FA4983" w:rsidRPr="003076DF">
        <w:rPr>
          <w:rFonts w:eastAsia="Times New Roman" w:cs="Times New Roman"/>
          <w:color w:val="000000"/>
          <w:sz w:val="24"/>
          <w:szCs w:val="24"/>
        </w:rPr>
        <w:t xml:space="preserve"> ICI research shows that </w:t>
      </w:r>
      <w:r w:rsidR="00CC6C7D" w:rsidRPr="003076DF">
        <w:rPr>
          <w:rFonts w:eastAsia="Times New Roman" w:cs="Times New Roman"/>
          <w:color w:val="000000"/>
          <w:sz w:val="24"/>
          <w:szCs w:val="24"/>
        </w:rPr>
        <w:t xml:space="preserve">an estimated 19% of individuals receiving day </w:t>
      </w:r>
      <w:r w:rsidR="00CC6C7D" w:rsidRPr="003076DF">
        <w:rPr>
          <w:rFonts w:eastAsia="Times New Roman" w:cs="Times New Roman"/>
          <w:color w:val="000000"/>
          <w:sz w:val="24"/>
          <w:szCs w:val="24"/>
        </w:rPr>
        <w:lastRenderedPageBreak/>
        <w:t>supports from state IDD agencies participated in integrated employment services during FY2014 (Butterworth et al</w:t>
      </w:r>
      <w:r w:rsidR="008F375B" w:rsidRPr="003076DF">
        <w:rPr>
          <w:rFonts w:eastAsia="Times New Roman" w:cs="Times New Roman"/>
          <w:color w:val="000000"/>
          <w:sz w:val="24"/>
          <w:szCs w:val="24"/>
        </w:rPr>
        <w:t>.</w:t>
      </w:r>
      <w:r w:rsidR="00CC6C7D" w:rsidRPr="003076DF">
        <w:rPr>
          <w:rFonts w:eastAsia="Times New Roman" w:cs="Times New Roman"/>
          <w:color w:val="000000"/>
          <w:sz w:val="24"/>
          <w:szCs w:val="24"/>
        </w:rPr>
        <w:t xml:space="preserve">, 2016). This number has slowly declined after reaching a peak of almost 25% in FY2001. </w:t>
      </w:r>
      <w:r w:rsidRPr="003076DF">
        <w:rPr>
          <w:rFonts w:eastAsia="Times New Roman" w:cs="Times New Roman"/>
          <w:color w:val="000000"/>
          <w:sz w:val="24"/>
          <w:szCs w:val="24"/>
        </w:rPr>
        <w:t>At the same time, participation</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in facility-based and non-work services has grown, suggesting that employment services remain an add-on rather than</w:t>
      </w:r>
      <w:r w:rsidR="009D7593" w:rsidRPr="003076DF">
        <w:rPr>
          <w:rFonts w:eastAsia="Times New Roman" w:cs="Times New Roman"/>
          <w:color w:val="000000"/>
          <w:sz w:val="24"/>
          <w:szCs w:val="24"/>
        </w:rPr>
        <w:t xml:space="preserve"> </w:t>
      </w:r>
      <w:r w:rsidRPr="003076DF">
        <w:rPr>
          <w:rFonts w:eastAsia="Times New Roman" w:cs="Times New Roman"/>
          <w:color w:val="000000"/>
          <w:sz w:val="24"/>
          <w:szCs w:val="24"/>
        </w:rPr>
        <w:t>a systemic change (Nord et al.,</w:t>
      </w:r>
      <w:r w:rsidR="00825ABF">
        <w:rPr>
          <w:rFonts w:eastAsia="Times New Roman" w:cs="Times New Roman"/>
          <w:color w:val="000000"/>
          <w:sz w:val="24"/>
          <w:szCs w:val="24"/>
        </w:rPr>
        <w:t xml:space="preserve"> 2016; Butterworth et al., 2015</w:t>
      </w:r>
      <w:r w:rsidRPr="003076DF">
        <w:rPr>
          <w:rFonts w:eastAsia="Times New Roman" w:cs="Times New Roman"/>
          <w:color w:val="000000"/>
          <w:sz w:val="24"/>
          <w:szCs w:val="24"/>
        </w:rPr>
        <w:t>; Domin &amp; Butterworth, 2012).</w:t>
      </w:r>
    </w:p>
    <w:p w14:paraId="39F5AF75" w14:textId="604D0826" w:rsidR="00F52CDD" w:rsidRPr="003076DF" w:rsidRDefault="00103B30" w:rsidP="00B85C26">
      <w:pPr>
        <w:spacing w:after="0" w:line="480" w:lineRule="auto"/>
        <w:ind w:firstLine="720"/>
        <w:textAlignment w:val="baseline"/>
        <w:rPr>
          <w:rFonts w:cs="Times New Roman"/>
          <w:sz w:val="24"/>
          <w:szCs w:val="24"/>
        </w:rPr>
      </w:pPr>
      <w:r w:rsidRPr="003076DF">
        <w:rPr>
          <w:rFonts w:eastAsia="Times New Roman" w:cs="Times New Roman"/>
          <w:color w:val="000000"/>
          <w:sz w:val="24"/>
          <w:szCs w:val="24"/>
        </w:rPr>
        <w:t xml:space="preserve">Many factors </w:t>
      </w:r>
      <w:r w:rsidR="00B3317B" w:rsidRPr="003076DF">
        <w:rPr>
          <w:rFonts w:eastAsia="Times New Roman" w:cs="Times New Roman"/>
          <w:color w:val="000000"/>
          <w:sz w:val="24"/>
          <w:szCs w:val="24"/>
        </w:rPr>
        <w:t>affect</w:t>
      </w:r>
      <w:r w:rsidR="00BF4E40" w:rsidRPr="003076DF">
        <w:rPr>
          <w:rFonts w:eastAsia="Times New Roman" w:cs="Times New Roman"/>
          <w:color w:val="000000"/>
          <w:sz w:val="24"/>
          <w:szCs w:val="24"/>
        </w:rPr>
        <w:t xml:space="preserve"> the national landscape around integrated employment.</w:t>
      </w:r>
      <w:r w:rsidR="00BF4E40" w:rsidRPr="003076DF">
        <w:rPr>
          <w:rFonts w:cs="Times New Roman"/>
          <w:sz w:val="24"/>
          <w:szCs w:val="24"/>
        </w:rPr>
        <w:t xml:space="preserve"> </w:t>
      </w:r>
      <w:r w:rsidR="00605FAE" w:rsidRPr="003076DF">
        <w:rPr>
          <w:rFonts w:cs="Times New Roman"/>
          <w:sz w:val="24"/>
          <w:szCs w:val="24"/>
        </w:rPr>
        <w:t xml:space="preserve">The Centers for Medicare and Medicaid Services </w:t>
      </w:r>
      <w:r w:rsidR="005A3D92" w:rsidRPr="003076DF">
        <w:rPr>
          <w:rFonts w:cs="Times New Roman"/>
          <w:sz w:val="24"/>
          <w:szCs w:val="24"/>
        </w:rPr>
        <w:t xml:space="preserve">(CMS) </w:t>
      </w:r>
      <w:r w:rsidR="00605FAE" w:rsidRPr="003076DF">
        <w:rPr>
          <w:rFonts w:cs="Times New Roman"/>
          <w:sz w:val="24"/>
          <w:szCs w:val="24"/>
        </w:rPr>
        <w:t>released guidance to the field clarifying their commitment to integrated employment as an outcome of employment-related services under the Home and Community-Based Services waiver, and ha</w:t>
      </w:r>
      <w:r w:rsidR="00BF4E40" w:rsidRPr="003076DF">
        <w:rPr>
          <w:rFonts w:cs="Times New Roman"/>
          <w:sz w:val="24"/>
          <w:szCs w:val="24"/>
        </w:rPr>
        <w:t>ve</w:t>
      </w:r>
      <w:r w:rsidR="00605FAE" w:rsidRPr="003076DF">
        <w:rPr>
          <w:rFonts w:cs="Times New Roman"/>
          <w:sz w:val="24"/>
          <w:szCs w:val="24"/>
        </w:rPr>
        <w:t xml:space="preserve"> issued new rules related to the assessment of community-based employment settings (CMS, 2014).</w:t>
      </w:r>
      <w:r w:rsidR="00605FAE" w:rsidRPr="003076DF">
        <w:rPr>
          <w:rFonts w:eastAsiaTheme="minorEastAsia" w:cs="Times New Roman"/>
          <w:sz w:val="24"/>
          <w:szCs w:val="24"/>
        </w:rPr>
        <w:t xml:space="preserve"> </w:t>
      </w:r>
      <w:r w:rsidR="00605FAE" w:rsidRPr="003076DF">
        <w:rPr>
          <w:rFonts w:cs="Times New Roman"/>
          <w:sz w:val="24"/>
          <w:szCs w:val="24"/>
        </w:rPr>
        <w:t xml:space="preserve">Notable in </w:t>
      </w:r>
      <w:r w:rsidR="00FA4983" w:rsidRPr="003076DF">
        <w:rPr>
          <w:rFonts w:cs="Times New Roman"/>
          <w:sz w:val="24"/>
          <w:szCs w:val="24"/>
        </w:rPr>
        <w:t xml:space="preserve">a </w:t>
      </w:r>
      <w:r w:rsidR="00605FAE" w:rsidRPr="003076DF">
        <w:rPr>
          <w:rFonts w:cs="Times New Roman"/>
          <w:sz w:val="24"/>
          <w:szCs w:val="24"/>
        </w:rPr>
        <w:t xml:space="preserve">2011 </w:t>
      </w:r>
      <w:r w:rsidR="005A3D92" w:rsidRPr="003076DF">
        <w:rPr>
          <w:rFonts w:cs="Times New Roman"/>
          <w:sz w:val="24"/>
          <w:szCs w:val="24"/>
        </w:rPr>
        <w:t>b</w:t>
      </w:r>
      <w:r w:rsidR="00605FAE" w:rsidRPr="003076DF">
        <w:rPr>
          <w:rFonts w:cs="Times New Roman"/>
          <w:sz w:val="24"/>
          <w:szCs w:val="24"/>
        </w:rPr>
        <w:t>ulletin from CMS is the amount of values-based language it contains</w:t>
      </w:r>
      <w:r w:rsidR="00F52CDD" w:rsidRPr="003076DF">
        <w:rPr>
          <w:rFonts w:cs="Times New Roman"/>
          <w:sz w:val="24"/>
          <w:szCs w:val="24"/>
        </w:rPr>
        <w:t>. The bulletin urges</w:t>
      </w:r>
      <w:r w:rsidR="00605FAE" w:rsidRPr="003076DF">
        <w:rPr>
          <w:rFonts w:cs="Times New Roman"/>
          <w:sz w:val="24"/>
          <w:szCs w:val="24"/>
        </w:rPr>
        <w:t xml:space="preserve"> investment in person</w:t>
      </w:r>
      <w:r w:rsidR="00F52CDD" w:rsidRPr="003076DF">
        <w:rPr>
          <w:rFonts w:cs="Times New Roman"/>
          <w:sz w:val="24"/>
          <w:szCs w:val="24"/>
        </w:rPr>
        <w:t>-</w:t>
      </w:r>
      <w:r w:rsidR="00605FAE" w:rsidRPr="003076DF">
        <w:rPr>
          <w:rFonts w:cs="Times New Roman"/>
          <w:sz w:val="24"/>
          <w:szCs w:val="24"/>
        </w:rPr>
        <w:t>centered planning</w:t>
      </w:r>
      <w:r w:rsidR="00F52CDD" w:rsidRPr="003076DF">
        <w:rPr>
          <w:rFonts w:cs="Times New Roman"/>
          <w:sz w:val="24"/>
          <w:szCs w:val="24"/>
        </w:rPr>
        <w:t>,</w:t>
      </w:r>
      <w:r w:rsidR="00605FAE" w:rsidRPr="003076DF">
        <w:rPr>
          <w:rFonts w:cs="Times New Roman"/>
          <w:sz w:val="24"/>
          <w:szCs w:val="24"/>
        </w:rPr>
        <w:t xml:space="preserve"> and point</w:t>
      </w:r>
      <w:r w:rsidR="00F52CDD" w:rsidRPr="003076DF">
        <w:rPr>
          <w:rFonts w:cs="Times New Roman"/>
          <w:sz w:val="24"/>
          <w:szCs w:val="24"/>
        </w:rPr>
        <w:t>s</w:t>
      </w:r>
      <w:r w:rsidR="00605FAE" w:rsidRPr="003076DF">
        <w:rPr>
          <w:rFonts w:cs="Times New Roman"/>
          <w:sz w:val="24"/>
          <w:szCs w:val="24"/>
        </w:rPr>
        <w:t xml:space="preserve"> out the ways in which Medicaid funds should support opportunities to increase employment outcomes compared to historically segregated options</w:t>
      </w:r>
      <w:r w:rsidR="00F52CDD" w:rsidRPr="003076DF">
        <w:rPr>
          <w:rFonts w:cs="Times New Roman"/>
          <w:sz w:val="24"/>
          <w:szCs w:val="24"/>
        </w:rPr>
        <w:t>:</w:t>
      </w:r>
      <w:r w:rsidR="00605FAE" w:rsidRPr="003076DF">
        <w:rPr>
          <w:rFonts w:cs="Times New Roman"/>
          <w:sz w:val="24"/>
          <w:szCs w:val="24"/>
        </w:rPr>
        <w:t xml:space="preserve"> “Work is a fundamental part of adult life for people with and without disabilities. It provides a sense of purpose, shaping who we are and how we fit into our community.” </w:t>
      </w:r>
    </w:p>
    <w:p w14:paraId="280FE98E" w14:textId="174ABEE4" w:rsidR="00BF4E40" w:rsidRPr="007348FE" w:rsidRDefault="00FA4983" w:rsidP="00B85C26">
      <w:pPr>
        <w:spacing w:after="0" w:line="480" w:lineRule="auto"/>
        <w:ind w:firstLine="720"/>
        <w:textAlignment w:val="baseline"/>
        <w:rPr>
          <w:sz w:val="24"/>
          <w:szCs w:val="24"/>
        </w:rPr>
      </w:pPr>
      <w:r w:rsidRPr="003076DF">
        <w:rPr>
          <w:rFonts w:cs="Times New Roman"/>
          <w:sz w:val="24"/>
          <w:szCs w:val="24"/>
        </w:rPr>
        <w:t>T</w:t>
      </w:r>
      <w:r w:rsidR="00605FAE" w:rsidRPr="003076DF">
        <w:rPr>
          <w:rFonts w:cs="Times New Roman"/>
          <w:sz w:val="24"/>
          <w:szCs w:val="24"/>
        </w:rPr>
        <w:t xml:space="preserve">he HCBS </w:t>
      </w:r>
      <w:r w:rsidR="00BF4E40" w:rsidRPr="003076DF">
        <w:rPr>
          <w:rFonts w:cs="Times New Roman"/>
          <w:sz w:val="24"/>
          <w:szCs w:val="24"/>
        </w:rPr>
        <w:t>“</w:t>
      </w:r>
      <w:r w:rsidR="00605FAE" w:rsidRPr="003076DF">
        <w:rPr>
          <w:rFonts w:cs="Times New Roman"/>
          <w:sz w:val="24"/>
          <w:szCs w:val="24"/>
        </w:rPr>
        <w:t>Final Rule</w:t>
      </w:r>
      <w:r w:rsidR="00BF4E40" w:rsidRPr="003076DF">
        <w:rPr>
          <w:rFonts w:cs="Times New Roman"/>
          <w:sz w:val="24"/>
          <w:szCs w:val="24"/>
        </w:rPr>
        <w:t>,”</w:t>
      </w:r>
      <w:r w:rsidR="00F55E99" w:rsidRPr="003076DF">
        <w:rPr>
          <w:rFonts w:cs="Times New Roman"/>
          <w:sz w:val="24"/>
          <w:szCs w:val="24"/>
        </w:rPr>
        <w:t xml:space="preserve"> </w:t>
      </w:r>
      <w:r w:rsidR="00605FAE" w:rsidRPr="003076DF">
        <w:rPr>
          <w:rFonts w:cs="Times New Roman"/>
          <w:sz w:val="24"/>
          <w:szCs w:val="24"/>
        </w:rPr>
        <w:t>which took effect in March</w:t>
      </w:r>
      <w:r w:rsidR="003F0B4E">
        <w:rPr>
          <w:rFonts w:cs="Times New Roman"/>
          <w:sz w:val="24"/>
          <w:szCs w:val="24"/>
        </w:rPr>
        <w:t>,</w:t>
      </w:r>
      <w:r w:rsidR="00605FAE" w:rsidRPr="003076DF">
        <w:rPr>
          <w:rFonts w:cs="Times New Roman"/>
          <w:sz w:val="24"/>
          <w:szCs w:val="24"/>
        </w:rPr>
        <w:t xml:space="preserve"> 2014, </w:t>
      </w:r>
      <w:r w:rsidR="00605FAE" w:rsidRPr="003076DF">
        <w:rPr>
          <w:rFonts w:cs="Times New Roman"/>
          <w:color w:val="000000"/>
          <w:sz w:val="24"/>
          <w:szCs w:val="24"/>
          <w:shd w:val="clear" w:color="auto" w:fill="FFFFFF"/>
        </w:rPr>
        <w:t xml:space="preserve">creates more clarity in the </w:t>
      </w:r>
      <w:r w:rsidR="00605FAE" w:rsidRPr="003F0B4E">
        <w:rPr>
          <w:rFonts w:cs="Times New Roman"/>
          <w:color w:val="000000"/>
          <w:sz w:val="24"/>
          <w:szCs w:val="24"/>
          <w:shd w:val="clear" w:color="auto" w:fill="FFFFFF"/>
        </w:rPr>
        <w:t xml:space="preserve">definitions of home and community-based settings, rather than </w:t>
      </w:r>
      <w:r w:rsidR="00425E6C" w:rsidRPr="003F0B4E">
        <w:rPr>
          <w:rFonts w:cs="Times New Roman"/>
          <w:color w:val="000000"/>
          <w:sz w:val="24"/>
          <w:szCs w:val="24"/>
          <w:shd w:val="clear" w:color="auto" w:fill="FFFFFF"/>
        </w:rPr>
        <w:t xml:space="preserve">defining them </w:t>
      </w:r>
      <w:r w:rsidR="00605FAE" w:rsidRPr="003F0B4E">
        <w:rPr>
          <w:rFonts w:cs="Times New Roman"/>
          <w:color w:val="000000"/>
          <w:sz w:val="24"/>
          <w:szCs w:val="24"/>
          <w:shd w:val="clear" w:color="auto" w:fill="FFFFFF"/>
        </w:rPr>
        <w:t>based solely on location, geography, or physical characteristics (CMS, 2014). The rule requires that</w:t>
      </w:r>
      <w:r w:rsidR="00605FAE" w:rsidRPr="003F0B4E">
        <w:rPr>
          <w:rFonts w:cs="Times New Roman"/>
          <w:sz w:val="24"/>
          <w:szCs w:val="24"/>
        </w:rPr>
        <w:t xml:space="preserve"> all HCBS settings must be integrated within and facilitate access to the community, optimize autonomy and independence, </w:t>
      </w:r>
      <w:r w:rsidR="00425E6C" w:rsidRPr="003F0B4E">
        <w:rPr>
          <w:rFonts w:cs="Times New Roman"/>
          <w:sz w:val="24"/>
          <w:szCs w:val="24"/>
        </w:rPr>
        <w:t xml:space="preserve">be </w:t>
      </w:r>
      <w:r w:rsidR="00605FAE" w:rsidRPr="003F0B4E">
        <w:rPr>
          <w:rFonts w:cs="Times New Roman"/>
          <w:sz w:val="24"/>
          <w:szCs w:val="24"/>
        </w:rPr>
        <w:t xml:space="preserve">chosen by the individual, and provide an opportunity to work in the </w:t>
      </w:r>
      <w:r w:rsidR="00605FAE" w:rsidRPr="007348FE">
        <w:rPr>
          <w:rFonts w:cs="Times New Roman"/>
          <w:sz w:val="24"/>
          <w:szCs w:val="24"/>
        </w:rPr>
        <w:t>community (HCBS Advocacy Coalition, 2015).</w:t>
      </w:r>
      <w:r w:rsidR="003F0B4E" w:rsidRPr="007348FE">
        <w:rPr>
          <w:rFonts w:cs="Times New Roman"/>
          <w:sz w:val="24"/>
          <w:szCs w:val="24"/>
        </w:rPr>
        <w:t xml:space="preserve"> In May of 2017, CMS announced a three year extension for </w:t>
      </w:r>
      <w:r w:rsidR="003F0B4E" w:rsidRPr="007348FE">
        <w:rPr>
          <w:rFonts w:cs="Arial"/>
          <w:color w:val="000000"/>
          <w:sz w:val="24"/>
          <w:szCs w:val="24"/>
          <w:shd w:val="clear" w:color="auto" w:fill="FFFFFF"/>
        </w:rPr>
        <w:t xml:space="preserve">states to meet the settings requirements. This extension is in response to states’ </w:t>
      </w:r>
      <w:r w:rsidR="003F0B4E" w:rsidRPr="007348FE">
        <w:rPr>
          <w:rFonts w:cs="Arial"/>
          <w:color w:val="000000"/>
          <w:sz w:val="24"/>
          <w:szCs w:val="24"/>
          <w:shd w:val="clear" w:color="auto" w:fill="FFFFFF"/>
        </w:rPr>
        <w:lastRenderedPageBreak/>
        <w:t>request for more time to comply with the requirements in ways that are “collaborative, transparent, and timely” (CMS, 2017). </w:t>
      </w:r>
      <w:r w:rsidR="007348FE" w:rsidRPr="007348FE">
        <w:rPr>
          <w:rFonts w:cs="Arial"/>
          <w:color w:val="000000"/>
          <w:sz w:val="24"/>
          <w:szCs w:val="24"/>
          <w:shd w:val="clear" w:color="auto" w:fill="FFFFFF"/>
        </w:rPr>
        <w:t xml:space="preserve">States now have until March, 2022 to comply with the rule. </w:t>
      </w:r>
    </w:p>
    <w:p w14:paraId="11A71860" w14:textId="0C00A672" w:rsidR="00BF4E40" w:rsidRPr="003076DF" w:rsidRDefault="00605FAE" w:rsidP="00B85C26">
      <w:pPr>
        <w:pStyle w:val="NormalWeb"/>
        <w:spacing w:line="480" w:lineRule="auto"/>
        <w:ind w:firstLine="720"/>
        <w:rPr>
          <w:rFonts w:asciiTheme="minorHAnsi" w:hAnsiTheme="minorHAnsi"/>
        </w:rPr>
      </w:pPr>
      <w:r w:rsidRPr="003076DF">
        <w:rPr>
          <w:rFonts w:asciiTheme="minorHAnsi" w:hAnsiTheme="minorHAnsi"/>
        </w:rPr>
        <w:t xml:space="preserve">In July 2014, the Workforce Innovation and Opportunity Act (WIOA) required that state’s public vocational rehabilitation (VR) agency focus on transition services and pre-employment services, coordinate with the state agency responsible for administering the state Medicaid plan and with state IDD agencies, and focus on the general workforce development system and One-Stop Career Centers (also called American Job Centers). WIOA also puts into place restrictions on the use of sub-minimum wage. As of 2016, the legislation incorporates a series of steps that individuals must go through before being placed in a position that pays less than minimum wage. </w:t>
      </w:r>
    </w:p>
    <w:p w14:paraId="493E0BBF" w14:textId="735CFB9F" w:rsidR="0043188F" w:rsidRPr="003076DF" w:rsidRDefault="00605FAE" w:rsidP="00B85C26">
      <w:pPr>
        <w:pStyle w:val="NormalWeb"/>
        <w:spacing w:line="480" w:lineRule="auto"/>
        <w:ind w:firstLine="720"/>
        <w:rPr>
          <w:rFonts w:asciiTheme="minorHAnsi" w:hAnsiTheme="minorHAnsi"/>
        </w:rPr>
      </w:pPr>
      <w:r w:rsidRPr="003076DF">
        <w:rPr>
          <w:rFonts w:asciiTheme="minorHAnsi" w:hAnsiTheme="minorHAnsi"/>
        </w:rPr>
        <w:t>In multiple states, the U.S. Department of Justice has extended the Olmstead vs. L.C. decision related to the unnecessary segregation of people</w:t>
      </w:r>
      <w:r w:rsidR="00824F66">
        <w:rPr>
          <w:rFonts w:asciiTheme="minorHAnsi" w:hAnsiTheme="minorHAnsi"/>
        </w:rPr>
        <w:t xml:space="preserve"> with disabilities</w:t>
      </w:r>
      <w:r w:rsidRPr="003076DF">
        <w:rPr>
          <w:rFonts w:asciiTheme="minorHAnsi" w:hAnsiTheme="minorHAnsi"/>
        </w:rPr>
        <w:t>. As recently as October 2016, the Department of Justice issued further clarification on the how the ADA’s integration mandate and Olmstead should be applied to publicly-funded employment services. The memo statement clarifies the definition of “most integrated setting” and the importance of informed choice for individuals with disabilities, who have traditionally been steered towards more segregated service options. Guidance around access to competitive employment services addresses individualization of services</w:t>
      </w:r>
      <w:r w:rsidR="009907D8" w:rsidRPr="003076DF">
        <w:rPr>
          <w:rFonts w:asciiTheme="minorHAnsi" w:hAnsiTheme="minorHAnsi"/>
        </w:rPr>
        <w:t>,</w:t>
      </w:r>
      <w:r w:rsidRPr="003076DF">
        <w:rPr>
          <w:rFonts w:asciiTheme="minorHAnsi" w:hAnsiTheme="minorHAnsi"/>
        </w:rPr>
        <w:t xml:space="preserve"> intensity and duration of services</w:t>
      </w:r>
      <w:r w:rsidR="009907D8" w:rsidRPr="003076DF">
        <w:rPr>
          <w:rFonts w:asciiTheme="minorHAnsi" w:hAnsiTheme="minorHAnsi"/>
        </w:rPr>
        <w:t>,</w:t>
      </w:r>
      <w:r w:rsidRPr="003076DF">
        <w:rPr>
          <w:rFonts w:asciiTheme="minorHAnsi" w:hAnsiTheme="minorHAnsi"/>
        </w:rPr>
        <w:t xml:space="preserve"> and access to integration and necessary supports during non-work hours (U.S. Department of Justice, 2016). </w:t>
      </w:r>
    </w:p>
    <w:p w14:paraId="677DEF0D" w14:textId="69EF583B" w:rsidR="003076DF" w:rsidRPr="003076DF" w:rsidRDefault="003076DF" w:rsidP="003076DF">
      <w:pPr>
        <w:pStyle w:val="Heading2"/>
        <w:spacing w:line="480" w:lineRule="auto"/>
        <w:rPr>
          <w:rFonts w:asciiTheme="minorHAnsi" w:hAnsiTheme="minorHAnsi" w:cs="Times New Roman"/>
        </w:rPr>
      </w:pPr>
      <w:r w:rsidRPr="003076DF">
        <w:rPr>
          <w:rFonts w:asciiTheme="minorHAnsi" w:hAnsiTheme="minorHAnsi" w:cs="Times New Roman"/>
        </w:rPr>
        <w:lastRenderedPageBreak/>
        <w:t xml:space="preserve">How states are responding </w:t>
      </w:r>
    </w:p>
    <w:p w14:paraId="6548A1A8" w14:textId="4EA5A7EF" w:rsidR="003076DF" w:rsidRPr="003076DF" w:rsidRDefault="00D82C27" w:rsidP="003076DF">
      <w:pPr>
        <w:spacing w:line="480" w:lineRule="auto"/>
        <w:rPr>
          <w:rFonts w:cs="Times New Roman"/>
          <w:sz w:val="24"/>
          <w:szCs w:val="24"/>
        </w:rPr>
      </w:pPr>
      <w:r>
        <w:rPr>
          <w:rFonts w:cs="Times New Roman"/>
          <w:sz w:val="24"/>
          <w:szCs w:val="24"/>
        </w:rPr>
        <w:t xml:space="preserve">State and even federal </w:t>
      </w:r>
      <w:r w:rsidR="003076DF" w:rsidRPr="003076DF">
        <w:rPr>
          <w:rFonts w:cs="Times New Roman"/>
          <w:sz w:val="24"/>
          <w:szCs w:val="24"/>
        </w:rPr>
        <w:t xml:space="preserve">policies can make an important contribution to raising expectations, improving outcomes, and increasing self-sufficiency for individuals with intellectual and developmental disabilities. However, research suggests that while the existence of a policy is important to provide a vision for practice and expectations, the existence of the policy by itself does not guarantee that more people with disabilities will become employed. </w:t>
      </w:r>
    </w:p>
    <w:p w14:paraId="2E6EA55D" w14:textId="673BBAE5" w:rsidR="003076DF" w:rsidRPr="003076DF" w:rsidRDefault="00D3201A" w:rsidP="003076DF">
      <w:pPr>
        <w:spacing w:line="480" w:lineRule="auto"/>
        <w:rPr>
          <w:rFonts w:cs="Times New Roman"/>
          <w:sz w:val="24"/>
          <w:szCs w:val="24"/>
        </w:rPr>
      </w:pPr>
      <w:r>
        <w:rPr>
          <w:rFonts w:cs="Times New Roman"/>
          <w:sz w:val="24"/>
          <w:szCs w:val="24"/>
        </w:rPr>
        <w:t xml:space="preserve">     </w:t>
      </w:r>
      <w:r w:rsidR="003076DF" w:rsidRPr="003076DF">
        <w:rPr>
          <w:rFonts w:cs="Times New Roman"/>
          <w:sz w:val="24"/>
          <w:szCs w:val="24"/>
        </w:rPr>
        <w:t>In order for change to be sustainable, it must be occur with a comprehensive approach to change that recognizes the need to achieve consistent messaging, goals, and policy across a complex network of services and programs. The Higher Performing States model, described below, emphasizes the relationship among strategy, policy, and culture in implementing systems change.</w:t>
      </w:r>
    </w:p>
    <w:p w14:paraId="72999E9D" w14:textId="77777777" w:rsidR="00B60BC8" w:rsidRDefault="003076DF" w:rsidP="003076DF">
      <w:pPr>
        <w:spacing w:line="480" w:lineRule="auto"/>
        <w:rPr>
          <w:rFonts w:cs="Times New Roman"/>
          <w:sz w:val="24"/>
          <w:szCs w:val="24"/>
        </w:rPr>
      </w:pPr>
      <w:r w:rsidRPr="003076DF">
        <w:rPr>
          <w:rFonts w:cs="Times New Roman"/>
          <w:b/>
          <w:sz w:val="24"/>
          <w:szCs w:val="24"/>
        </w:rPr>
        <w:t>The High Performing States Model.</w:t>
      </w:r>
      <w:r w:rsidRPr="003076DF">
        <w:rPr>
          <w:rFonts w:cs="Times New Roman"/>
          <w:sz w:val="24"/>
          <w:szCs w:val="24"/>
        </w:rPr>
        <w:t xml:space="preserve"> The large variation in employment participation across state IDD agencies suggests that examining state agency policy and practice is vital for understanding employment outcomes. </w:t>
      </w:r>
    </w:p>
    <w:p w14:paraId="51F08986" w14:textId="77777777" w:rsidR="00B60BC8" w:rsidRDefault="00B60BC8" w:rsidP="003076DF">
      <w:pPr>
        <w:spacing w:line="480" w:lineRule="auto"/>
        <w:rPr>
          <w:rFonts w:cs="Times New Roman"/>
          <w:sz w:val="24"/>
          <w:szCs w:val="24"/>
        </w:rPr>
      </w:pPr>
    </w:p>
    <w:p w14:paraId="13D8C308" w14:textId="77777777" w:rsidR="00B60BC8" w:rsidRDefault="00B60BC8" w:rsidP="003076DF">
      <w:pPr>
        <w:spacing w:line="480" w:lineRule="auto"/>
        <w:rPr>
          <w:rFonts w:cs="Times New Roman"/>
          <w:sz w:val="24"/>
          <w:szCs w:val="24"/>
        </w:rPr>
      </w:pPr>
    </w:p>
    <w:p w14:paraId="7DBECC37" w14:textId="77777777" w:rsidR="00B60BC8" w:rsidRDefault="00B60BC8" w:rsidP="003076DF">
      <w:pPr>
        <w:spacing w:line="480" w:lineRule="auto"/>
        <w:rPr>
          <w:rFonts w:cs="Times New Roman"/>
          <w:sz w:val="24"/>
          <w:szCs w:val="24"/>
        </w:rPr>
      </w:pPr>
    </w:p>
    <w:p w14:paraId="1BAD50AB" w14:textId="77777777" w:rsidR="00B60BC8" w:rsidRDefault="00B60BC8" w:rsidP="003076DF">
      <w:pPr>
        <w:spacing w:line="480" w:lineRule="auto"/>
        <w:rPr>
          <w:rFonts w:cs="Times New Roman"/>
          <w:sz w:val="24"/>
          <w:szCs w:val="24"/>
        </w:rPr>
      </w:pPr>
    </w:p>
    <w:p w14:paraId="62FC7F2B" w14:textId="77777777" w:rsidR="00B60BC8" w:rsidRDefault="00B60BC8" w:rsidP="003076DF">
      <w:pPr>
        <w:spacing w:line="480" w:lineRule="auto"/>
        <w:rPr>
          <w:rFonts w:cs="Times New Roman"/>
          <w:sz w:val="24"/>
          <w:szCs w:val="24"/>
        </w:rPr>
      </w:pPr>
    </w:p>
    <w:p w14:paraId="0BA786AA" w14:textId="77777777" w:rsidR="00B60BC8" w:rsidRDefault="00B60BC8" w:rsidP="003076DF">
      <w:pPr>
        <w:spacing w:line="480" w:lineRule="auto"/>
        <w:rPr>
          <w:rFonts w:cs="Times New Roman"/>
          <w:sz w:val="24"/>
          <w:szCs w:val="24"/>
        </w:rPr>
      </w:pPr>
    </w:p>
    <w:p w14:paraId="25C57BA8" w14:textId="24259C79" w:rsidR="00B60BC8" w:rsidRDefault="00B60BC8" w:rsidP="003076DF">
      <w:pPr>
        <w:spacing w:line="480" w:lineRule="auto"/>
        <w:rPr>
          <w:rFonts w:cs="Times New Roman"/>
          <w:sz w:val="24"/>
          <w:szCs w:val="24"/>
        </w:rPr>
      </w:pPr>
      <w:r>
        <w:rPr>
          <w:rFonts w:cs="Times New Roman"/>
          <w:sz w:val="24"/>
          <w:szCs w:val="24"/>
        </w:rPr>
        <w:lastRenderedPageBreak/>
        <w:t xml:space="preserve">Figure 1: Higher Performing States Model </w:t>
      </w:r>
    </w:p>
    <w:p w14:paraId="1285FF97" w14:textId="0A66D351" w:rsidR="00B60BC8" w:rsidRDefault="00D82C27" w:rsidP="003076DF">
      <w:pPr>
        <w:spacing w:line="480" w:lineRule="auto"/>
        <w:rPr>
          <w:rFonts w:cs="Times New Roman"/>
          <w:sz w:val="24"/>
          <w:szCs w:val="24"/>
        </w:rPr>
      </w:pPr>
      <w:r>
        <w:rPr>
          <w:noProof/>
        </w:rPr>
        <w:drawing>
          <wp:inline distT="0" distB="0" distL="0" distR="0" wp14:anchorId="0309E6BD" wp14:editId="43AF9EE8">
            <wp:extent cx="5943600" cy="2844165"/>
            <wp:effectExtent l="0" t="0" r="0" b="0"/>
            <wp:docPr id="1" name="Picture 1" descr="cid:image001.jpg@01D1D2ED.4C404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5C6E38-FA44-4DB7-9CD4-4E70BCC1180E" descr="cid:image001.jpg@01D1D2ED.4C404E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2844165"/>
                    </a:xfrm>
                    <a:prstGeom prst="rect">
                      <a:avLst/>
                    </a:prstGeom>
                    <a:noFill/>
                    <a:ln>
                      <a:noFill/>
                    </a:ln>
                  </pic:spPr>
                </pic:pic>
              </a:graphicData>
            </a:graphic>
          </wp:inline>
        </w:drawing>
      </w:r>
      <w:r w:rsidRPr="00D82C27">
        <w:rPr>
          <w:rFonts w:cs="Times New Roman"/>
          <w:sz w:val="24"/>
          <w:szCs w:val="24"/>
        </w:rPr>
        <w:t xml:space="preserve"> </w:t>
      </w:r>
    </w:p>
    <w:p w14:paraId="31E2F31B" w14:textId="39AB1035" w:rsidR="003076DF" w:rsidRDefault="00D82C27" w:rsidP="003076DF">
      <w:pPr>
        <w:spacing w:line="480" w:lineRule="auto"/>
        <w:rPr>
          <w:rFonts w:cs="Times New Roman"/>
          <w:sz w:val="24"/>
          <w:szCs w:val="24"/>
        </w:rPr>
      </w:pPr>
      <w:r w:rsidRPr="003076DF">
        <w:rPr>
          <w:rFonts w:cs="Times New Roman"/>
          <w:sz w:val="24"/>
          <w:szCs w:val="24"/>
        </w:rPr>
        <w:t>The High Performing States model was d</w:t>
      </w:r>
      <w:r w:rsidR="003076DF" w:rsidRPr="003076DF">
        <w:rPr>
          <w:rFonts w:cs="Times New Roman"/>
          <w:sz w:val="24"/>
          <w:szCs w:val="24"/>
        </w:rPr>
        <w:t xml:space="preserve">eveloped from research that examined common strategies and approaches across state IDD agencies with high levels of integrated employment outcomes, and identifies seven elements that communicate commitment to the goals of community inclusion and integrated employment. </w:t>
      </w:r>
    </w:p>
    <w:p w14:paraId="49E8BA83" w14:textId="00487184" w:rsidR="00D82C27" w:rsidRDefault="00D82C27" w:rsidP="003076DF">
      <w:pPr>
        <w:spacing w:line="480" w:lineRule="auto"/>
        <w:rPr>
          <w:rFonts w:cs="Times New Roman"/>
          <w:sz w:val="24"/>
          <w:szCs w:val="24"/>
        </w:rPr>
      </w:pPr>
      <w:r>
        <w:rPr>
          <w:rFonts w:cs="Times New Roman"/>
          <w:sz w:val="24"/>
          <w:szCs w:val="24"/>
        </w:rPr>
        <w:t xml:space="preserve">     Developed over ten years ago, this model has been used as a</w:t>
      </w:r>
      <w:r w:rsidR="00BC5D14">
        <w:rPr>
          <w:rFonts w:cs="Times New Roman"/>
          <w:sz w:val="24"/>
          <w:szCs w:val="24"/>
        </w:rPr>
        <w:t xml:space="preserve"> strategic planning tool with 30</w:t>
      </w:r>
      <w:r>
        <w:rPr>
          <w:rFonts w:cs="Times New Roman"/>
          <w:sz w:val="24"/>
          <w:szCs w:val="24"/>
        </w:rPr>
        <w:t xml:space="preserve"> states to guide systems change towards greater integrated employment outcomes within state IDD agencies. Given the current and increasing emphasis on a cross-systems focus and interagency collaboration, this model is evolving to encompass the systems int</w:t>
      </w:r>
      <w:r w:rsidR="00D3201A">
        <w:rPr>
          <w:rFonts w:cs="Times New Roman"/>
          <w:sz w:val="24"/>
          <w:szCs w:val="24"/>
        </w:rPr>
        <w:t>eractions, relationships, and partnerships</w:t>
      </w:r>
      <w:r>
        <w:rPr>
          <w:rFonts w:cs="Times New Roman"/>
          <w:sz w:val="24"/>
          <w:szCs w:val="24"/>
        </w:rPr>
        <w:t xml:space="preserve"> that characterize higher performing states.</w:t>
      </w:r>
    </w:p>
    <w:p w14:paraId="00481F91" w14:textId="04324689" w:rsidR="00D82C27" w:rsidRPr="003076DF" w:rsidRDefault="004E05B5" w:rsidP="003076DF">
      <w:pPr>
        <w:spacing w:line="480" w:lineRule="auto"/>
        <w:rPr>
          <w:rFonts w:cs="Times New Roman"/>
          <w:sz w:val="24"/>
          <w:szCs w:val="24"/>
        </w:rPr>
        <w:sectPr w:rsidR="00D82C27" w:rsidRPr="003076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r>
        <w:rPr>
          <w:rFonts w:cs="Times New Roman"/>
          <w:sz w:val="24"/>
          <w:szCs w:val="24"/>
        </w:rPr>
        <w:tab/>
      </w:r>
      <w:r w:rsidRPr="004E05B5">
        <w:rPr>
          <w:rFonts w:cs="Times New Roman"/>
          <w:sz w:val="24"/>
          <w:szCs w:val="24"/>
        </w:rPr>
        <w:t xml:space="preserve">The focus of the current work is to understand how state systems </w:t>
      </w:r>
      <w:r w:rsidR="00D82C27" w:rsidRPr="004E05B5">
        <w:rPr>
          <w:rFonts w:cs="Times New Roman"/>
          <w:sz w:val="24"/>
          <w:szCs w:val="24"/>
        </w:rPr>
        <w:t xml:space="preserve">are paving the way for more individuals with IDD to experience integrated employment options while building new paths for economic self- sufficiency and meaningful roles in their communities. </w:t>
      </w:r>
      <w:r w:rsidRPr="004E05B5">
        <w:rPr>
          <w:rFonts w:cs="Times New Roman"/>
          <w:sz w:val="24"/>
          <w:szCs w:val="24"/>
        </w:rPr>
        <w:t xml:space="preserve">These </w:t>
      </w:r>
      <w:r w:rsidR="00D82C27" w:rsidRPr="004E05B5">
        <w:rPr>
          <w:rFonts w:cs="Times New Roman"/>
          <w:sz w:val="24"/>
          <w:szCs w:val="24"/>
        </w:rPr>
        <w:t xml:space="preserve">changes </w:t>
      </w:r>
      <w:r w:rsidR="00D82C27" w:rsidRPr="004E05B5">
        <w:rPr>
          <w:rFonts w:cs="Times New Roman"/>
          <w:sz w:val="24"/>
          <w:szCs w:val="24"/>
        </w:rPr>
        <w:lastRenderedPageBreak/>
        <w:t>must directly tie back to the key system drivers outlined earlier in partnership with the authoring federal entities</w:t>
      </w:r>
      <w:r w:rsidRPr="004E05B5">
        <w:rPr>
          <w:rFonts w:cs="Times New Roman"/>
          <w:sz w:val="24"/>
          <w:szCs w:val="24"/>
        </w:rPr>
        <w:t xml:space="preserve">. </w:t>
      </w:r>
      <w:r w:rsidR="00D82C27" w:rsidRPr="004E05B5">
        <w:rPr>
          <w:rFonts w:cs="Times New Roman"/>
          <w:sz w:val="24"/>
          <w:szCs w:val="24"/>
        </w:rPr>
        <w:t xml:space="preserve">The drivers clarify the importance of individuals achieving their employment goals in concert with federal expectations, and not in spite of such influences.  State systems must use the available opportunities to determine whether current investments are producing the intended outcomes, and if not, provide the strategic leadership to </w:t>
      </w:r>
      <w:r>
        <w:rPr>
          <w:rFonts w:cs="Times New Roman"/>
          <w:sz w:val="24"/>
          <w:szCs w:val="24"/>
        </w:rPr>
        <w:t xml:space="preserve">adapt as  </w:t>
      </w:r>
      <w:r w:rsidR="00D82C27" w:rsidRPr="004E05B5">
        <w:rPr>
          <w:rFonts w:cs="Times New Roman"/>
          <w:sz w:val="24"/>
          <w:szCs w:val="24"/>
        </w:rPr>
        <w:t xml:space="preserve">necessary to reach intended goals.   </w:t>
      </w:r>
    </w:p>
    <w:p w14:paraId="202C97BC" w14:textId="4E4E9EE4" w:rsidR="0014035B" w:rsidRPr="003076DF" w:rsidRDefault="0057035C" w:rsidP="003076DF">
      <w:pPr>
        <w:pStyle w:val="NormalWeb"/>
        <w:spacing w:before="0" w:beforeAutospacing="0" w:line="480" w:lineRule="auto"/>
        <w:rPr>
          <w:rFonts w:asciiTheme="minorHAnsi" w:eastAsia="Times New Roman" w:hAnsiTheme="minorHAnsi"/>
          <w:color w:val="000000"/>
        </w:rPr>
      </w:pPr>
      <w:r w:rsidRPr="003076DF">
        <w:rPr>
          <w:rFonts w:asciiTheme="minorHAnsi" w:eastAsia="Times New Roman" w:hAnsiTheme="minorHAnsi"/>
          <w:color w:val="000000"/>
          <w:u w:val="single"/>
        </w:rPr>
        <w:lastRenderedPageBreak/>
        <w:t xml:space="preserve">Findings </w:t>
      </w:r>
    </w:p>
    <w:p w14:paraId="281F8B62" w14:textId="5D4BF111" w:rsidR="0057035C" w:rsidRPr="003076DF" w:rsidRDefault="007E7F84" w:rsidP="003076DF">
      <w:pPr>
        <w:pStyle w:val="NormalWeb"/>
        <w:spacing w:line="480" w:lineRule="auto"/>
        <w:ind w:firstLine="720"/>
        <w:rPr>
          <w:rFonts w:asciiTheme="minorHAnsi" w:eastAsia="Times New Roman" w:hAnsiTheme="minorHAnsi"/>
          <w:color w:val="000000"/>
        </w:rPr>
      </w:pPr>
      <w:r w:rsidRPr="003076DF">
        <w:rPr>
          <w:rFonts w:asciiTheme="minorHAnsi" w:eastAsia="Times New Roman" w:hAnsiTheme="minorHAnsi"/>
          <w:color w:val="000000"/>
        </w:rPr>
        <w:t>Through the work of the Rehabilitation Research and Training Center on Advancing Employment for People with IDD,</w:t>
      </w:r>
      <w:r w:rsidR="0057035C" w:rsidRPr="003076DF">
        <w:rPr>
          <w:rFonts w:asciiTheme="minorHAnsi" w:eastAsia="Times New Roman" w:hAnsiTheme="minorHAnsi"/>
          <w:color w:val="000000"/>
        </w:rPr>
        <w:t xml:space="preserve"> we consider the practices, needs, and goals of state employment systems. This project explores how state agencies and their partners are working to implement Employment First policies that enable people with IDD to attain integrated employment. Building </w:t>
      </w:r>
      <w:r w:rsidRPr="003076DF">
        <w:rPr>
          <w:rFonts w:asciiTheme="minorHAnsi" w:eastAsia="Times New Roman" w:hAnsiTheme="minorHAnsi"/>
          <w:color w:val="000000"/>
        </w:rPr>
        <w:t xml:space="preserve">on a </w:t>
      </w:r>
      <w:r w:rsidR="0057035C" w:rsidRPr="003076DF">
        <w:rPr>
          <w:rFonts w:asciiTheme="minorHAnsi" w:eastAsia="Times New Roman" w:hAnsiTheme="minorHAnsi"/>
          <w:color w:val="000000"/>
        </w:rPr>
        <w:t>foundation of work on state systems and employment, proje</w:t>
      </w:r>
      <w:r w:rsidR="00087693" w:rsidRPr="003076DF">
        <w:rPr>
          <w:rFonts w:asciiTheme="minorHAnsi" w:eastAsia="Times New Roman" w:hAnsiTheme="minorHAnsi"/>
          <w:color w:val="000000"/>
        </w:rPr>
        <w:t xml:space="preserve">ct staff and partners </w:t>
      </w:r>
      <w:r w:rsidR="00BF4E40" w:rsidRPr="003076DF">
        <w:rPr>
          <w:rFonts w:asciiTheme="minorHAnsi" w:eastAsia="Times New Roman" w:hAnsiTheme="minorHAnsi"/>
          <w:color w:val="000000"/>
        </w:rPr>
        <w:t xml:space="preserve">in </w:t>
      </w:r>
      <w:r w:rsidR="00087693" w:rsidRPr="003076DF">
        <w:rPr>
          <w:rFonts w:asciiTheme="minorHAnsi" w:eastAsia="Times New Roman" w:hAnsiTheme="minorHAnsi"/>
          <w:color w:val="000000"/>
        </w:rPr>
        <w:t>t</w:t>
      </w:r>
      <w:r w:rsidR="0057035C" w:rsidRPr="003076DF">
        <w:rPr>
          <w:rFonts w:asciiTheme="minorHAnsi" w:eastAsia="Times New Roman" w:hAnsiTheme="minorHAnsi"/>
          <w:color w:val="000000"/>
        </w:rPr>
        <w:t xml:space="preserve">his research </w:t>
      </w:r>
      <w:r w:rsidR="00045653" w:rsidRPr="003076DF">
        <w:rPr>
          <w:rFonts w:asciiTheme="minorHAnsi" w:eastAsia="Times New Roman" w:hAnsiTheme="minorHAnsi"/>
          <w:color w:val="000000"/>
        </w:rPr>
        <w:t>are exploring</w:t>
      </w:r>
      <w:r w:rsidR="00BF4E40" w:rsidRPr="003076DF">
        <w:rPr>
          <w:rFonts w:asciiTheme="minorHAnsi" w:eastAsia="Times New Roman" w:hAnsiTheme="minorHAnsi"/>
          <w:color w:val="000000"/>
        </w:rPr>
        <w:t xml:space="preserve"> </w:t>
      </w:r>
      <w:r w:rsidR="0057035C" w:rsidRPr="003076DF">
        <w:rPr>
          <w:rFonts w:asciiTheme="minorHAnsi" w:eastAsia="Times New Roman" w:hAnsiTheme="minorHAnsi"/>
          <w:color w:val="000000"/>
        </w:rPr>
        <w:t xml:space="preserve">the relationships between state </w:t>
      </w:r>
      <w:r w:rsidR="00045653" w:rsidRPr="003076DF">
        <w:rPr>
          <w:rFonts w:asciiTheme="minorHAnsi" w:eastAsia="Times New Roman" w:hAnsiTheme="minorHAnsi"/>
          <w:color w:val="000000"/>
        </w:rPr>
        <w:t>strategy</w:t>
      </w:r>
      <w:r w:rsidR="0057035C" w:rsidRPr="003076DF">
        <w:rPr>
          <w:rFonts w:asciiTheme="minorHAnsi" w:eastAsia="Times New Roman" w:hAnsiTheme="minorHAnsi"/>
          <w:color w:val="000000"/>
        </w:rPr>
        <w:t xml:space="preserve"> and employment outcomes, with </w:t>
      </w:r>
      <w:r w:rsidR="00561872" w:rsidRPr="003076DF">
        <w:rPr>
          <w:rFonts w:asciiTheme="minorHAnsi" w:eastAsia="Times New Roman" w:hAnsiTheme="minorHAnsi"/>
          <w:color w:val="000000"/>
        </w:rPr>
        <w:t>the</w:t>
      </w:r>
      <w:r w:rsidR="0057035C" w:rsidRPr="003076DF">
        <w:rPr>
          <w:rFonts w:asciiTheme="minorHAnsi" w:eastAsia="Times New Roman" w:hAnsiTheme="minorHAnsi"/>
          <w:color w:val="000000"/>
        </w:rPr>
        <w:t xml:space="preserve"> goal </w:t>
      </w:r>
      <w:r w:rsidR="00561872" w:rsidRPr="003076DF">
        <w:rPr>
          <w:rFonts w:asciiTheme="minorHAnsi" w:eastAsia="Times New Roman" w:hAnsiTheme="minorHAnsi"/>
          <w:color w:val="000000"/>
        </w:rPr>
        <w:t>of</w:t>
      </w:r>
      <w:r w:rsidR="0057035C" w:rsidRPr="003076DF">
        <w:rPr>
          <w:rFonts w:asciiTheme="minorHAnsi" w:eastAsia="Times New Roman" w:hAnsiTheme="minorHAnsi"/>
          <w:color w:val="000000"/>
        </w:rPr>
        <w:t xml:space="preserve"> produc</w:t>
      </w:r>
      <w:r w:rsidR="00561872" w:rsidRPr="003076DF">
        <w:rPr>
          <w:rFonts w:asciiTheme="minorHAnsi" w:eastAsia="Times New Roman" w:hAnsiTheme="minorHAnsi"/>
          <w:color w:val="000000"/>
        </w:rPr>
        <w:t>ing</w:t>
      </w:r>
      <w:r w:rsidR="0057035C" w:rsidRPr="003076DF">
        <w:rPr>
          <w:rFonts w:asciiTheme="minorHAnsi" w:eastAsia="Times New Roman" w:hAnsiTheme="minorHAnsi"/>
          <w:color w:val="000000"/>
        </w:rPr>
        <w:t xml:space="preserve"> a framework where systems intentionally align practices with a priority for employment.</w:t>
      </w:r>
      <w:r w:rsidR="00BF4E40" w:rsidRPr="003076DF">
        <w:rPr>
          <w:rFonts w:asciiTheme="minorHAnsi" w:eastAsia="Times New Roman" w:hAnsiTheme="minorHAnsi"/>
          <w:color w:val="000000"/>
        </w:rPr>
        <w:t xml:space="preserve"> We use several tools</w:t>
      </w:r>
      <w:r w:rsidR="008D7793" w:rsidRPr="003076DF">
        <w:rPr>
          <w:rFonts w:asciiTheme="minorHAnsi" w:eastAsia="Times New Roman" w:hAnsiTheme="minorHAnsi"/>
          <w:color w:val="000000"/>
        </w:rPr>
        <w:t xml:space="preserve"> </w:t>
      </w:r>
      <w:r w:rsidR="00BF4E40" w:rsidRPr="003076DF">
        <w:rPr>
          <w:rFonts w:asciiTheme="minorHAnsi" w:eastAsia="Times New Roman" w:hAnsiTheme="minorHAnsi"/>
          <w:color w:val="000000"/>
        </w:rPr>
        <w:t>including</w:t>
      </w:r>
      <w:r w:rsidR="00E64C2A" w:rsidRPr="003076DF">
        <w:rPr>
          <w:rFonts w:asciiTheme="minorHAnsi" w:eastAsia="Times New Roman" w:hAnsiTheme="minorHAnsi"/>
          <w:color w:val="000000"/>
        </w:rPr>
        <w:t xml:space="preserve"> </w:t>
      </w:r>
      <w:r w:rsidR="0014035B" w:rsidRPr="003076DF">
        <w:rPr>
          <w:rFonts w:asciiTheme="minorHAnsi" w:eastAsia="Times New Roman" w:hAnsiTheme="minorHAnsi"/>
          <w:color w:val="000000"/>
        </w:rPr>
        <w:t>s</w:t>
      </w:r>
      <w:r w:rsidR="0057035C" w:rsidRPr="003076DF">
        <w:rPr>
          <w:rFonts w:asciiTheme="minorHAnsi" w:eastAsia="Times New Roman" w:hAnsiTheme="minorHAnsi"/>
          <w:color w:val="000000"/>
        </w:rPr>
        <w:t xml:space="preserve">econdary </w:t>
      </w:r>
      <w:r w:rsidR="00E64C2A" w:rsidRPr="003076DF">
        <w:rPr>
          <w:rFonts w:asciiTheme="minorHAnsi" w:eastAsia="Times New Roman" w:hAnsiTheme="minorHAnsi"/>
          <w:color w:val="000000"/>
        </w:rPr>
        <w:t>analysis of national data sets</w:t>
      </w:r>
      <w:r w:rsidR="00D7093F" w:rsidRPr="003076DF">
        <w:rPr>
          <w:rFonts w:asciiTheme="minorHAnsi" w:eastAsia="Times New Roman" w:hAnsiTheme="minorHAnsi"/>
          <w:color w:val="000000"/>
        </w:rPr>
        <w:t xml:space="preserve"> (National Core Indicator analysis and the Employment Composite Indicator analysis)</w:t>
      </w:r>
      <w:r w:rsidR="00E64C2A" w:rsidRPr="003076DF">
        <w:rPr>
          <w:rFonts w:asciiTheme="minorHAnsi" w:eastAsia="Times New Roman" w:hAnsiTheme="minorHAnsi"/>
          <w:color w:val="000000"/>
        </w:rPr>
        <w:t>,</w:t>
      </w:r>
      <w:r w:rsidR="0014035B" w:rsidRPr="003076DF">
        <w:rPr>
          <w:rFonts w:asciiTheme="minorHAnsi" w:eastAsia="Times New Roman" w:hAnsiTheme="minorHAnsi"/>
          <w:color w:val="000000"/>
        </w:rPr>
        <w:t xml:space="preserve"> c</w:t>
      </w:r>
      <w:r w:rsidR="0057035C" w:rsidRPr="003076DF">
        <w:rPr>
          <w:rFonts w:asciiTheme="minorHAnsi" w:eastAsia="Times New Roman" w:hAnsiTheme="minorHAnsi"/>
          <w:color w:val="000000"/>
        </w:rPr>
        <w:t>ase studies of hi</w:t>
      </w:r>
      <w:r w:rsidR="00E64C2A" w:rsidRPr="003076DF">
        <w:rPr>
          <w:rFonts w:asciiTheme="minorHAnsi" w:eastAsia="Times New Roman" w:hAnsiTheme="minorHAnsi"/>
          <w:color w:val="000000"/>
        </w:rPr>
        <w:t xml:space="preserve">gher-performing state systems, and </w:t>
      </w:r>
      <w:r w:rsidR="0014035B" w:rsidRPr="003076DF">
        <w:rPr>
          <w:rFonts w:asciiTheme="minorHAnsi" w:eastAsia="Times New Roman" w:hAnsiTheme="minorHAnsi"/>
          <w:color w:val="000000"/>
        </w:rPr>
        <w:t>p</w:t>
      </w:r>
      <w:r w:rsidR="0057035C" w:rsidRPr="003076DF">
        <w:rPr>
          <w:rFonts w:asciiTheme="minorHAnsi" w:eastAsia="Times New Roman" w:hAnsiTheme="minorHAnsi"/>
          <w:color w:val="000000"/>
        </w:rPr>
        <w:t>olicy analyses that describe challenges and strategies of states as they respond to national priorities.</w:t>
      </w:r>
    </w:p>
    <w:p w14:paraId="50D15281" w14:textId="77777777" w:rsidR="00F26DB3" w:rsidRPr="00BC5D14" w:rsidRDefault="00F26DB3" w:rsidP="00F26DB3">
      <w:pPr>
        <w:spacing w:after="0" w:line="480" w:lineRule="auto"/>
        <w:textAlignment w:val="baseline"/>
        <w:rPr>
          <w:rFonts w:eastAsia="Times New Roman" w:cs="Times New Roman"/>
          <w:i/>
          <w:color w:val="000000"/>
          <w:sz w:val="24"/>
          <w:szCs w:val="24"/>
        </w:rPr>
      </w:pPr>
      <w:r w:rsidRPr="00BC5D14">
        <w:rPr>
          <w:rFonts w:eastAsia="Times New Roman" w:cs="Times New Roman"/>
          <w:i/>
          <w:color w:val="000000"/>
          <w:sz w:val="24"/>
          <w:szCs w:val="24"/>
        </w:rPr>
        <w:t>National Core Indicator Analysis</w:t>
      </w:r>
    </w:p>
    <w:p w14:paraId="2A8623FA" w14:textId="6A07EB50" w:rsidR="008B19BA" w:rsidRPr="00BC5D14" w:rsidRDefault="00F26DB3" w:rsidP="004E05B5">
      <w:pPr>
        <w:spacing w:after="0" w:line="480" w:lineRule="auto"/>
        <w:textAlignment w:val="baseline"/>
        <w:rPr>
          <w:rFonts w:cs="Times New Roman"/>
          <w:bCs/>
          <w:sz w:val="24"/>
          <w:szCs w:val="24"/>
        </w:rPr>
      </w:pPr>
      <w:r w:rsidRPr="00BC5D14">
        <w:rPr>
          <w:rFonts w:cs="Times New Roman"/>
          <w:bCs/>
          <w:sz w:val="24"/>
          <w:szCs w:val="24"/>
        </w:rPr>
        <w:t>Understanding what services and supports individuals with IDD receive and the outcomes of those services is an important step for developing long-term, sustainable system change</w:t>
      </w:r>
      <w:r w:rsidR="00045653" w:rsidRPr="00BC5D14">
        <w:rPr>
          <w:rFonts w:cs="Times New Roman"/>
          <w:bCs/>
          <w:sz w:val="24"/>
          <w:szCs w:val="24"/>
        </w:rPr>
        <w:t>.</w:t>
      </w:r>
      <w:r w:rsidRPr="00BC5D14">
        <w:rPr>
          <w:rFonts w:cs="Times New Roman"/>
          <w:bCs/>
          <w:sz w:val="24"/>
          <w:szCs w:val="24"/>
        </w:rPr>
        <w:t xml:space="preserve"> </w:t>
      </w:r>
      <w:r w:rsidRPr="00BC5D14">
        <w:rPr>
          <w:rFonts w:cs="Times New Roman"/>
          <w:sz w:val="24"/>
          <w:szCs w:val="24"/>
        </w:rPr>
        <w:t>This study explored the characteristics of individuals with IDD who receive services in relation to their involvement in different day and employment settings. National Core Indicator</w:t>
      </w:r>
      <w:r w:rsidR="004A194E" w:rsidRPr="00BC5D14">
        <w:rPr>
          <w:rFonts w:cs="Times New Roman"/>
          <w:sz w:val="24"/>
          <w:szCs w:val="24"/>
        </w:rPr>
        <w:t>s</w:t>
      </w:r>
      <w:r w:rsidRPr="00BC5D14">
        <w:rPr>
          <w:rFonts w:cs="Times New Roman"/>
          <w:sz w:val="24"/>
          <w:szCs w:val="24"/>
        </w:rPr>
        <w:t xml:space="preserve"> (NCI) data from 25 states in 2012</w:t>
      </w:r>
      <w:r w:rsidR="004A194E" w:rsidRPr="00BC5D14">
        <w:rPr>
          <w:rFonts w:cs="Times New Roman"/>
          <w:sz w:val="24"/>
          <w:szCs w:val="24"/>
        </w:rPr>
        <w:t>–</w:t>
      </w:r>
      <w:r w:rsidRPr="00BC5D14">
        <w:rPr>
          <w:rFonts w:cs="Times New Roman"/>
          <w:sz w:val="24"/>
          <w:szCs w:val="24"/>
        </w:rPr>
        <w:t>2013 were analyzed to identify and describe individual demographic characteristics and outcomes related to four different day and employment settings</w:t>
      </w:r>
      <w:r w:rsidR="004A194E" w:rsidRPr="00BC5D14">
        <w:rPr>
          <w:rFonts w:cs="Times New Roman"/>
          <w:sz w:val="24"/>
          <w:szCs w:val="24"/>
        </w:rPr>
        <w:t>:</w:t>
      </w:r>
      <w:r w:rsidRPr="00BC5D14">
        <w:rPr>
          <w:rFonts w:cs="Times New Roman"/>
          <w:sz w:val="24"/>
          <w:szCs w:val="24"/>
        </w:rPr>
        <w:t xml:space="preserve"> individual community, group community, facility-based, and no paid job.</w:t>
      </w:r>
      <w:r w:rsidRPr="00BC5D14">
        <w:rPr>
          <w:rFonts w:cs="Times New Roman"/>
          <w:bCs/>
          <w:sz w:val="24"/>
          <w:szCs w:val="24"/>
        </w:rPr>
        <w:t xml:space="preserve"> </w:t>
      </w:r>
    </w:p>
    <w:p w14:paraId="0E0488F0" w14:textId="3DCFF35B" w:rsidR="004E05B5" w:rsidRPr="00BC5D14" w:rsidRDefault="00F26DB3" w:rsidP="004E05B5">
      <w:pPr>
        <w:spacing w:line="480" w:lineRule="auto"/>
        <w:rPr>
          <w:rFonts w:cs="Times New Roman"/>
          <w:bCs/>
          <w:sz w:val="24"/>
          <w:szCs w:val="24"/>
        </w:rPr>
      </w:pPr>
      <w:r w:rsidRPr="00BC5D14">
        <w:rPr>
          <w:rFonts w:cs="Times New Roman"/>
          <w:bCs/>
          <w:sz w:val="24"/>
          <w:szCs w:val="24"/>
        </w:rPr>
        <w:lastRenderedPageBreak/>
        <w:t xml:space="preserve">Findings indicate that basic demographic characteristics of people who receive services (age, gender, and </w:t>
      </w:r>
      <w:r w:rsidR="00103B30" w:rsidRPr="00BC5D14">
        <w:rPr>
          <w:rFonts w:cs="Times New Roman"/>
          <w:bCs/>
          <w:sz w:val="24"/>
          <w:szCs w:val="24"/>
        </w:rPr>
        <w:t>significance/severity of disability</w:t>
      </w:r>
      <w:r w:rsidRPr="00BC5D14">
        <w:rPr>
          <w:rFonts w:cs="Times New Roman"/>
          <w:bCs/>
          <w:sz w:val="24"/>
          <w:szCs w:val="24"/>
        </w:rPr>
        <w:t>), and support needs characteristics (mode of expression, mobility</w:t>
      </w:r>
      <w:r w:rsidR="008E4ED8" w:rsidRPr="00BC5D14">
        <w:rPr>
          <w:rFonts w:cs="Times New Roman"/>
          <w:bCs/>
          <w:sz w:val="24"/>
          <w:szCs w:val="24"/>
        </w:rPr>
        <w:t>,</w:t>
      </w:r>
      <w:r w:rsidRPr="00BC5D14">
        <w:rPr>
          <w:rFonts w:cs="Times New Roman"/>
          <w:bCs/>
          <w:sz w:val="24"/>
          <w:szCs w:val="24"/>
        </w:rPr>
        <w:t xml:space="preserve"> and guardianship status), are possible indicators for type of day and employment setting. </w:t>
      </w:r>
      <w:r w:rsidR="000C2534" w:rsidRPr="00BC5D14">
        <w:rPr>
          <w:rFonts w:cs="Times New Roman"/>
          <w:bCs/>
          <w:sz w:val="24"/>
          <w:szCs w:val="24"/>
        </w:rPr>
        <w:t>In particular, younger individuals were less likely to be in any employment setting</w:t>
      </w:r>
      <w:r w:rsidR="00B5100B" w:rsidRPr="00BC5D14">
        <w:rPr>
          <w:rFonts w:cs="Times New Roman"/>
          <w:bCs/>
          <w:sz w:val="24"/>
          <w:szCs w:val="24"/>
        </w:rPr>
        <w:t>,</w:t>
      </w:r>
      <w:r w:rsidR="000C2534" w:rsidRPr="00BC5D14">
        <w:rPr>
          <w:rFonts w:cs="Times New Roman"/>
          <w:bCs/>
          <w:sz w:val="24"/>
          <w:szCs w:val="24"/>
        </w:rPr>
        <w:t xml:space="preserve"> females were the most underrepresented group in the paid employment group</w:t>
      </w:r>
      <w:r w:rsidR="00B5100B" w:rsidRPr="00BC5D14">
        <w:rPr>
          <w:rFonts w:cs="Times New Roman"/>
          <w:bCs/>
          <w:sz w:val="24"/>
          <w:szCs w:val="24"/>
        </w:rPr>
        <w:t>,</w:t>
      </w:r>
      <w:r w:rsidR="000C2534" w:rsidRPr="00BC5D14">
        <w:rPr>
          <w:rFonts w:cs="Times New Roman"/>
          <w:bCs/>
          <w:sz w:val="24"/>
          <w:szCs w:val="24"/>
        </w:rPr>
        <w:t xml:space="preserve"> and those that had legal guardians were less likely to be employed (Nye-Lengerman, </w:t>
      </w:r>
      <w:proofErr w:type="spellStart"/>
      <w:r w:rsidR="000C2534" w:rsidRPr="00BC5D14">
        <w:rPr>
          <w:rFonts w:cs="Times New Roman"/>
          <w:bCs/>
          <w:sz w:val="24"/>
          <w:szCs w:val="24"/>
        </w:rPr>
        <w:t>Pettingell</w:t>
      </w:r>
      <w:proofErr w:type="spellEnd"/>
      <w:r w:rsidR="000C2534" w:rsidRPr="00BC5D14">
        <w:rPr>
          <w:rFonts w:cs="Times New Roman"/>
          <w:bCs/>
          <w:sz w:val="24"/>
          <w:szCs w:val="24"/>
        </w:rPr>
        <w:t xml:space="preserve">, Nord, </w:t>
      </w:r>
      <w:r w:rsidR="00B5100B" w:rsidRPr="00BC5D14">
        <w:rPr>
          <w:rFonts w:cs="Times New Roman"/>
          <w:bCs/>
          <w:sz w:val="24"/>
          <w:szCs w:val="24"/>
        </w:rPr>
        <w:t xml:space="preserve">&amp; </w:t>
      </w:r>
      <w:r w:rsidR="000C2534" w:rsidRPr="00BC5D14">
        <w:rPr>
          <w:rFonts w:cs="Times New Roman"/>
          <w:bCs/>
          <w:sz w:val="24"/>
          <w:szCs w:val="24"/>
        </w:rPr>
        <w:t xml:space="preserve">Hewitt, under review). </w:t>
      </w:r>
      <w:r w:rsidR="00BC5D14">
        <w:rPr>
          <w:rFonts w:cs="Times New Roman"/>
          <w:bCs/>
          <w:sz w:val="24"/>
          <w:szCs w:val="24"/>
        </w:rPr>
        <w:t xml:space="preserve">In </w:t>
      </w:r>
      <w:r w:rsidR="00BC5D14" w:rsidRPr="004E05B5">
        <w:rPr>
          <w:rFonts w:cs="Times New Roman"/>
          <w:bCs/>
          <w:sz w:val="24"/>
          <w:szCs w:val="24"/>
        </w:rPr>
        <w:t>general, individuals with IDD continue to receive services in non-work or facility-based employment programs at significantly higher rates than in community employment.</w:t>
      </w:r>
    </w:p>
    <w:p w14:paraId="78518598" w14:textId="4499D4DD" w:rsidR="004E05B5" w:rsidRPr="00BC5D14" w:rsidRDefault="004E05B5" w:rsidP="00BC5D14">
      <w:pPr>
        <w:spacing w:line="480" w:lineRule="auto"/>
        <w:rPr>
          <w:rFonts w:cs="Times New Roman"/>
        </w:rPr>
      </w:pPr>
      <w:r w:rsidRPr="00BC5D14">
        <w:rPr>
          <w:rFonts w:cs="Times New Roman"/>
          <w:bCs/>
          <w:sz w:val="24"/>
          <w:szCs w:val="24"/>
        </w:rPr>
        <w:t xml:space="preserve">     </w:t>
      </w:r>
      <w:r w:rsidR="00BC5D14">
        <w:rPr>
          <w:rFonts w:eastAsia="Times New Roman" w:cs="Times New Roman"/>
          <w:sz w:val="24"/>
          <w:szCs w:val="24"/>
        </w:rPr>
        <w:t>This analysis highlights two important points. First,</w:t>
      </w:r>
      <w:r w:rsidRPr="00BC5D14">
        <w:rPr>
          <w:rFonts w:eastAsia="Times New Roman" w:cs="Times New Roman"/>
          <w:sz w:val="24"/>
          <w:szCs w:val="24"/>
        </w:rPr>
        <w:t xml:space="preserve"> findings of this study suggest a gender-based disparity between men and women in the area of community-based employment. More research is needed to understand why women seem to be underrepresented among people with IDD who are employed in</w:t>
      </w:r>
      <w:r w:rsidR="00BC5D14">
        <w:rPr>
          <w:rFonts w:eastAsia="Times New Roman" w:cs="Times New Roman"/>
          <w:sz w:val="24"/>
          <w:szCs w:val="24"/>
        </w:rPr>
        <w:t xml:space="preserve"> community-based settings. T</w:t>
      </w:r>
      <w:r w:rsidRPr="00BC5D14">
        <w:rPr>
          <w:rFonts w:eastAsia="Times New Roman" w:cs="Times New Roman"/>
          <w:sz w:val="24"/>
          <w:szCs w:val="24"/>
        </w:rPr>
        <w:t xml:space="preserve">his research </w:t>
      </w:r>
      <w:r w:rsidR="00BC5D14">
        <w:rPr>
          <w:rFonts w:eastAsia="Times New Roman" w:cs="Times New Roman"/>
          <w:sz w:val="24"/>
          <w:szCs w:val="24"/>
        </w:rPr>
        <w:t xml:space="preserve">also </w:t>
      </w:r>
      <w:r w:rsidRPr="00BC5D14">
        <w:rPr>
          <w:rFonts w:eastAsia="Times New Roman" w:cs="Times New Roman"/>
          <w:sz w:val="24"/>
          <w:szCs w:val="24"/>
        </w:rPr>
        <w:t>highlights an important correlation between legal guardianship and employment for people with IDD. Understanding why guardianship may represent a barrier to integrated employment can help providers, policymakers, and advocates engage effectively with guardians in order to support improved employment outcomes for individuals with IDD. In general, guardianship does not necessarily reflect or neatly correspond to an individual’s degree of intellectual impairment. Rates of guardianship for people with IDD vary significantly across different states (</w:t>
      </w:r>
      <w:proofErr w:type="spellStart"/>
      <w:r w:rsidR="00BC5D14" w:rsidRPr="00BC5D14">
        <w:rPr>
          <w:rFonts w:eastAsia="Times New Roman" w:cs="Times New Roman"/>
          <w:sz w:val="24"/>
          <w:szCs w:val="24"/>
        </w:rPr>
        <w:t>Pettingell</w:t>
      </w:r>
      <w:proofErr w:type="spellEnd"/>
      <w:r w:rsidR="00BC5D14" w:rsidRPr="00BC5D14">
        <w:rPr>
          <w:rFonts w:eastAsia="Times New Roman" w:cs="Times New Roman"/>
          <w:sz w:val="24"/>
          <w:szCs w:val="24"/>
        </w:rPr>
        <w:t>, raw data</w:t>
      </w:r>
      <w:r w:rsidRPr="00BC5D14">
        <w:rPr>
          <w:rFonts w:eastAsia="Times New Roman" w:cs="Times New Roman"/>
          <w:sz w:val="24"/>
          <w:szCs w:val="24"/>
        </w:rPr>
        <w:t>), and the requirements for guardianship vary according to state law (</w:t>
      </w:r>
      <w:proofErr w:type="spellStart"/>
      <w:r w:rsidRPr="00BC5D14">
        <w:rPr>
          <w:rFonts w:eastAsia="Times New Roman" w:cs="Times New Roman"/>
          <w:sz w:val="24"/>
          <w:szCs w:val="24"/>
        </w:rPr>
        <w:t>Whitenack</w:t>
      </w:r>
      <w:proofErr w:type="spellEnd"/>
      <w:r w:rsidRPr="00BC5D14">
        <w:rPr>
          <w:rFonts w:eastAsia="Times New Roman" w:cs="Times New Roman"/>
          <w:sz w:val="24"/>
          <w:szCs w:val="24"/>
        </w:rPr>
        <w:t xml:space="preserve">, </w:t>
      </w:r>
      <w:proofErr w:type="spellStart"/>
      <w:r w:rsidRPr="00BC5D14">
        <w:rPr>
          <w:rFonts w:eastAsia="Times New Roman" w:cs="Times New Roman"/>
          <w:sz w:val="24"/>
          <w:szCs w:val="24"/>
        </w:rPr>
        <w:t>n.d.</w:t>
      </w:r>
      <w:proofErr w:type="spellEnd"/>
      <w:r w:rsidRPr="00BC5D14">
        <w:rPr>
          <w:rFonts w:eastAsia="Times New Roman" w:cs="Times New Roman"/>
          <w:sz w:val="24"/>
          <w:szCs w:val="24"/>
        </w:rPr>
        <w:t>). Guardians often have significant influence over the lives of people with IDD</w:t>
      </w:r>
      <w:r w:rsidR="00BC5D14" w:rsidRPr="00BC5D14">
        <w:rPr>
          <w:rFonts w:eastAsia="Times New Roman" w:cs="Times New Roman"/>
          <w:sz w:val="24"/>
          <w:szCs w:val="24"/>
        </w:rPr>
        <w:t xml:space="preserve">, and thus it </w:t>
      </w:r>
      <w:r w:rsidRPr="00BC5D14">
        <w:rPr>
          <w:rFonts w:eastAsia="Times New Roman" w:cs="Times New Roman"/>
          <w:sz w:val="24"/>
          <w:szCs w:val="24"/>
        </w:rPr>
        <w:t xml:space="preserve">may be necessary to explore whether and where legal guardians are able to access information about </w:t>
      </w:r>
      <w:r w:rsidRPr="00BC5D14">
        <w:rPr>
          <w:rFonts w:eastAsia="Times New Roman" w:cs="Times New Roman"/>
          <w:sz w:val="24"/>
          <w:szCs w:val="24"/>
        </w:rPr>
        <w:lastRenderedPageBreak/>
        <w:t>integrated employment, and whether there might be observable gaps or misalignment between guardians’ expectations and individuals’ employment goals</w:t>
      </w:r>
      <w:r w:rsidR="00BC5D14">
        <w:rPr>
          <w:rFonts w:eastAsia="Times New Roman" w:cs="Times New Roman"/>
          <w:sz w:val="24"/>
          <w:szCs w:val="24"/>
        </w:rPr>
        <w:t xml:space="preserve"> (Narby, in press)</w:t>
      </w:r>
      <w:r w:rsidRPr="00BC5D14">
        <w:rPr>
          <w:rFonts w:eastAsia="Times New Roman" w:cs="Times New Roman"/>
          <w:sz w:val="24"/>
          <w:szCs w:val="24"/>
        </w:rPr>
        <w:t xml:space="preserve">. </w:t>
      </w:r>
    </w:p>
    <w:p w14:paraId="01D8B733" w14:textId="77777777" w:rsidR="00A709A1" w:rsidRPr="003076DF" w:rsidRDefault="00A709A1" w:rsidP="00103B30">
      <w:pPr>
        <w:spacing w:after="0" w:line="480" w:lineRule="auto"/>
        <w:ind w:firstLine="720"/>
        <w:textAlignment w:val="baseline"/>
        <w:rPr>
          <w:rFonts w:cs="Times New Roman"/>
          <w:bCs/>
          <w:sz w:val="24"/>
          <w:szCs w:val="24"/>
        </w:rPr>
      </w:pPr>
    </w:p>
    <w:p w14:paraId="6B7581B2" w14:textId="1E12313F" w:rsidR="00F26DB3" w:rsidRPr="003076DF" w:rsidRDefault="00E55DB0" w:rsidP="0014035B">
      <w:pPr>
        <w:pStyle w:val="NoSpacing"/>
        <w:spacing w:line="480" w:lineRule="auto"/>
        <w:rPr>
          <w:rFonts w:cs="Times New Roman"/>
          <w:sz w:val="24"/>
          <w:szCs w:val="24"/>
        </w:rPr>
      </w:pPr>
      <w:r w:rsidRPr="003076DF">
        <w:rPr>
          <w:rFonts w:cs="Times New Roman"/>
          <w:i/>
          <w:sz w:val="24"/>
          <w:szCs w:val="24"/>
        </w:rPr>
        <w:t xml:space="preserve">The State Employment System Performance </w:t>
      </w:r>
      <w:r w:rsidR="00F26DB3" w:rsidRPr="003076DF">
        <w:rPr>
          <w:rFonts w:cs="Times New Roman"/>
          <w:i/>
          <w:sz w:val="24"/>
          <w:szCs w:val="24"/>
        </w:rPr>
        <w:t xml:space="preserve">Composite Indicator </w:t>
      </w:r>
    </w:p>
    <w:p w14:paraId="574AF2F7" w14:textId="419B675A" w:rsidR="00E55DB0" w:rsidRPr="003076DF" w:rsidRDefault="00A709A1" w:rsidP="0014035B">
      <w:pPr>
        <w:pStyle w:val="NoSpacing"/>
        <w:spacing w:line="480" w:lineRule="auto"/>
        <w:rPr>
          <w:rFonts w:eastAsia="Times New Roman" w:cs="Times New Roman"/>
          <w:i/>
          <w:color w:val="000000"/>
          <w:sz w:val="24"/>
          <w:szCs w:val="24"/>
        </w:rPr>
      </w:pPr>
      <w:r w:rsidRPr="003076DF">
        <w:rPr>
          <w:rFonts w:cs="Times New Roman"/>
          <w:sz w:val="24"/>
          <w:szCs w:val="24"/>
        </w:rPr>
        <w:t>The State Employment System Performance Composite Indicator was</w:t>
      </w:r>
      <w:r w:rsidR="00E55DB0" w:rsidRPr="003076DF">
        <w:rPr>
          <w:rFonts w:cs="Times New Roman"/>
          <w:sz w:val="24"/>
          <w:szCs w:val="24"/>
        </w:rPr>
        <w:t xml:space="preserve"> developed through a broad, data</w:t>
      </w:r>
      <w:r w:rsidR="00AE07CD" w:rsidRPr="003076DF">
        <w:rPr>
          <w:rFonts w:cs="Times New Roman"/>
          <w:sz w:val="24"/>
          <w:szCs w:val="24"/>
        </w:rPr>
        <w:t>-</w:t>
      </w:r>
      <w:r w:rsidR="00E55DB0" w:rsidRPr="003076DF">
        <w:rPr>
          <w:rFonts w:cs="Times New Roman"/>
          <w:sz w:val="24"/>
          <w:szCs w:val="24"/>
        </w:rPr>
        <w:t>driven effort.</w:t>
      </w:r>
      <w:r w:rsidR="00F5114F" w:rsidRPr="003076DF">
        <w:rPr>
          <w:rFonts w:cs="Times New Roman"/>
          <w:sz w:val="24"/>
          <w:szCs w:val="24"/>
        </w:rPr>
        <w:t xml:space="preserve"> </w:t>
      </w:r>
      <w:r w:rsidR="00F5114F" w:rsidRPr="003076DF">
        <w:rPr>
          <w:rFonts w:cs="Times New Roman"/>
          <w:sz w:val="24"/>
          <w:szCs w:val="24"/>
          <w:shd w:val="clear" w:color="auto" w:fill="FFFFFF"/>
        </w:rPr>
        <w:t xml:space="preserve">Researchers used data representing employment outcomes for state IDD </w:t>
      </w:r>
      <w:r w:rsidR="008A4939" w:rsidRPr="003076DF">
        <w:rPr>
          <w:rFonts w:cs="Times New Roman"/>
          <w:sz w:val="24"/>
          <w:szCs w:val="24"/>
          <w:shd w:val="clear" w:color="auto" w:fill="FFFFFF"/>
        </w:rPr>
        <w:t xml:space="preserve">agencies, </w:t>
      </w:r>
      <w:r w:rsidR="00F5114F" w:rsidRPr="003076DF">
        <w:rPr>
          <w:rFonts w:cs="Times New Roman"/>
          <w:sz w:val="24"/>
          <w:szCs w:val="24"/>
          <w:shd w:val="clear" w:color="auto" w:fill="FFFFFF"/>
        </w:rPr>
        <w:t xml:space="preserve">state VR agencies, and state public education systems to create a composite indicator representing overall </w:t>
      </w:r>
      <w:r w:rsidR="00F5114F" w:rsidRPr="003076DF">
        <w:rPr>
          <w:rFonts w:cs="Times New Roman"/>
          <w:sz w:val="24"/>
          <w:szCs w:val="24"/>
        </w:rPr>
        <w:t xml:space="preserve">state employment system performance rankings. </w:t>
      </w:r>
      <w:r w:rsidR="00E55DB0" w:rsidRPr="003076DF">
        <w:rPr>
          <w:rFonts w:cs="Times New Roman"/>
          <w:sz w:val="24"/>
          <w:szCs w:val="24"/>
        </w:rPr>
        <w:t xml:space="preserve">Results of composite indicator analysis revealed </w:t>
      </w:r>
      <w:r w:rsidR="00AE538C" w:rsidRPr="003076DF">
        <w:rPr>
          <w:rFonts w:cs="Times New Roman"/>
          <w:sz w:val="24"/>
          <w:szCs w:val="24"/>
        </w:rPr>
        <w:t xml:space="preserve">that </w:t>
      </w:r>
      <w:r w:rsidR="00E55DB0" w:rsidRPr="003076DF">
        <w:rPr>
          <w:rFonts w:cs="Times New Roman"/>
          <w:sz w:val="24"/>
          <w:szCs w:val="24"/>
        </w:rPr>
        <w:t xml:space="preserve">some states’ employment systems achieve a relatively higher performance when compared with other states. </w:t>
      </w:r>
    </w:p>
    <w:p w14:paraId="15DE1FA0" w14:textId="4DB5BBE6" w:rsidR="00D05D7F" w:rsidRPr="003076DF" w:rsidRDefault="00E55DB0">
      <w:pPr>
        <w:spacing w:after="0" w:line="480" w:lineRule="auto"/>
        <w:textAlignment w:val="baseline"/>
        <w:rPr>
          <w:rFonts w:eastAsia="Times New Roman" w:cs="Times New Roman"/>
          <w:color w:val="000000"/>
          <w:sz w:val="24"/>
          <w:szCs w:val="24"/>
        </w:rPr>
      </w:pPr>
      <w:r w:rsidRPr="003076DF">
        <w:rPr>
          <w:rFonts w:eastAsia="Times New Roman" w:cs="Times New Roman"/>
          <w:color w:val="000000"/>
          <w:sz w:val="24"/>
          <w:szCs w:val="24"/>
        </w:rPr>
        <w:tab/>
        <w:t>States with higher</w:t>
      </w:r>
      <w:r w:rsidR="00990615" w:rsidRPr="003076DF">
        <w:rPr>
          <w:rFonts w:eastAsia="Times New Roman" w:cs="Times New Roman"/>
          <w:color w:val="000000"/>
          <w:sz w:val="24"/>
          <w:szCs w:val="24"/>
        </w:rPr>
        <w:t>-</w:t>
      </w:r>
      <w:r w:rsidRPr="003076DF">
        <w:rPr>
          <w:rFonts w:eastAsia="Times New Roman" w:cs="Times New Roman"/>
          <w:color w:val="000000"/>
          <w:sz w:val="24"/>
          <w:szCs w:val="24"/>
        </w:rPr>
        <w:t>performing state systems in 2013</w:t>
      </w:r>
      <w:r w:rsidR="00A709A1" w:rsidRPr="003076DF">
        <w:rPr>
          <w:rFonts w:eastAsia="Times New Roman" w:cs="Times New Roman"/>
          <w:color w:val="000000"/>
          <w:sz w:val="24"/>
          <w:szCs w:val="24"/>
        </w:rPr>
        <w:t>, i</w:t>
      </w:r>
      <w:r w:rsidR="00D3201A">
        <w:rPr>
          <w:rFonts w:eastAsia="Times New Roman" w:cs="Times New Roman"/>
          <w:color w:val="000000"/>
          <w:sz w:val="24"/>
          <w:szCs w:val="24"/>
        </w:rPr>
        <w:t>n ranked</w:t>
      </w:r>
      <w:r w:rsidR="00A709A1" w:rsidRPr="003076DF">
        <w:rPr>
          <w:rFonts w:eastAsia="Times New Roman" w:cs="Times New Roman"/>
          <w:color w:val="000000"/>
          <w:sz w:val="24"/>
          <w:szCs w:val="24"/>
        </w:rPr>
        <w:t xml:space="preserve"> order,</w:t>
      </w:r>
      <w:r w:rsidRPr="003076DF">
        <w:rPr>
          <w:rFonts w:eastAsia="Times New Roman" w:cs="Times New Roman"/>
          <w:color w:val="000000"/>
          <w:sz w:val="24"/>
          <w:szCs w:val="24"/>
        </w:rPr>
        <w:t xml:space="preserve"> were Maryland, New Hampshire, Vermont, Oregon, Washington, Iowa, Oklahoma, South Dakota, Colorado, and Delaware. Not surprisingly, due to </w:t>
      </w:r>
      <w:r w:rsidR="00F5114F" w:rsidRPr="003076DF">
        <w:rPr>
          <w:rFonts w:eastAsia="Times New Roman" w:cs="Times New Roman"/>
          <w:color w:val="000000"/>
          <w:sz w:val="24"/>
          <w:szCs w:val="24"/>
        </w:rPr>
        <w:t xml:space="preserve">a </w:t>
      </w:r>
      <w:r w:rsidRPr="003076DF">
        <w:rPr>
          <w:rFonts w:eastAsia="Times New Roman" w:cs="Times New Roman"/>
          <w:color w:val="000000"/>
          <w:sz w:val="24"/>
          <w:szCs w:val="24"/>
        </w:rPr>
        <w:t>weighting criteria</w:t>
      </w:r>
      <w:r w:rsidR="00F5114F" w:rsidRPr="003076DF">
        <w:rPr>
          <w:rFonts w:eastAsia="Times New Roman" w:cs="Times New Roman"/>
          <w:color w:val="000000"/>
          <w:sz w:val="24"/>
          <w:szCs w:val="24"/>
        </w:rPr>
        <w:t xml:space="preserve"> developed through an expert review and ranking of systems’ indicators, </w:t>
      </w:r>
      <w:r w:rsidRPr="003076DF">
        <w:rPr>
          <w:rFonts w:eastAsia="Times New Roman" w:cs="Times New Roman"/>
          <w:color w:val="000000"/>
          <w:sz w:val="24"/>
          <w:szCs w:val="24"/>
        </w:rPr>
        <w:t>states that had higher IDD system performance rose to the top of the list for the State Employment System Performance rankings. Six of the higher</w:t>
      </w:r>
      <w:r w:rsidR="000665FF" w:rsidRPr="003076DF">
        <w:rPr>
          <w:rFonts w:eastAsia="Times New Roman" w:cs="Times New Roman"/>
          <w:color w:val="000000"/>
          <w:sz w:val="24"/>
          <w:szCs w:val="24"/>
        </w:rPr>
        <w:t>-</w:t>
      </w:r>
      <w:r w:rsidRPr="003076DF">
        <w:rPr>
          <w:rFonts w:eastAsia="Times New Roman" w:cs="Times New Roman"/>
          <w:color w:val="000000"/>
          <w:sz w:val="24"/>
          <w:szCs w:val="24"/>
        </w:rPr>
        <w:t>performing states had IDD systems that were in the top 10 in terms of IDD system score: Maryland, New Hampshire, Vermont, Oregon, Washington, and Oklahoma. Four states, Maryland, South Dakota, Colorado, and Delaware, were in the top 10 in terms of VR system performance. Four of the higher</w:t>
      </w:r>
      <w:r w:rsidR="00EC6BB2" w:rsidRPr="003076DF">
        <w:rPr>
          <w:rFonts w:eastAsia="Times New Roman" w:cs="Times New Roman"/>
          <w:color w:val="000000"/>
          <w:sz w:val="24"/>
          <w:szCs w:val="24"/>
        </w:rPr>
        <w:t>-</w:t>
      </w:r>
      <w:r w:rsidRPr="003076DF">
        <w:rPr>
          <w:rFonts w:eastAsia="Times New Roman" w:cs="Times New Roman"/>
          <w:color w:val="000000"/>
          <w:sz w:val="24"/>
          <w:szCs w:val="24"/>
        </w:rPr>
        <w:t>performing states were in the top 10 in terms of education system performance: New Hampshire, Iowa, South Dakota and Colorado.</w:t>
      </w:r>
      <w:r w:rsidR="00F5114F" w:rsidRPr="003076DF">
        <w:rPr>
          <w:rFonts w:eastAsia="Times New Roman" w:cs="Times New Roman"/>
          <w:color w:val="000000"/>
          <w:sz w:val="24"/>
          <w:szCs w:val="24"/>
        </w:rPr>
        <w:t xml:space="preserve"> </w:t>
      </w:r>
    </w:p>
    <w:p w14:paraId="7157C851" w14:textId="34974717" w:rsidR="00E55DB0" w:rsidRPr="003076DF" w:rsidRDefault="00F5114F" w:rsidP="00103B30">
      <w:pPr>
        <w:spacing w:after="0" w:line="480" w:lineRule="auto"/>
        <w:ind w:firstLine="720"/>
        <w:textAlignment w:val="baseline"/>
        <w:rPr>
          <w:rFonts w:cs="Times New Roman"/>
          <w:sz w:val="24"/>
          <w:szCs w:val="24"/>
        </w:rPr>
      </w:pPr>
      <w:r w:rsidRPr="003076DF">
        <w:rPr>
          <w:rFonts w:eastAsia="Times New Roman" w:cs="Times New Roman"/>
          <w:color w:val="000000"/>
          <w:sz w:val="24"/>
          <w:szCs w:val="24"/>
        </w:rPr>
        <w:t xml:space="preserve">Next, researchers will </w:t>
      </w:r>
      <w:r w:rsidRPr="003076DF">
        <w:rPr>
          <w:rFonts w:cs="Times New Roman"/>
          <w:sz w:val="24"/>
          <w:szCs w:val="24"/>
        </w:rPr>
        <w:t>apply the findings from these analys</w:t>
      </w:r>
      <w:r w:rsidR="00D05D7F" w:rsidRPr="003076DF">
        <w:rPr>
          <w:rFonts w:cs="Times New Roman"/>
          <w:sz w:val="24"/>
          <w:szCs w:val="24"/>
        </w:rPr>
        <w:t>e</w:t>
      </w:r>
      <w:r w:rsidRPr="003076DF">
        <w:rPr>
          <w:rFonts w:cs="Times New Roman"/>
          <w:sz w:val="24"/>
          <w:szCs w:val="24"/>
        </w:rPr>
        <w:t>s to understand why some states</w:t>
      </w:r>
      <w:r w:rsidR="00A709A1" w:rsidRPr="003076DF">
        <w:rPr>
          <w:rFonts w:cs="Times New Roman"/>
          <w:sz w:val="24"/>
          <w:szCs w:val="24"/>
        </w:rPr>
        <w:t xml:space="preserve"> showed indications of h</w:t>
      </w:r>
      <w:r w:rsidRPr="003076DF">
        <w:rPr>
          <w:rFonts w:cs="Times New Roman"/>
          <w:sz w:val="24"/>
          <w:szCs w:val="24"/>
        </w:rPr>
        <w:t xml:space="preserve">igher performance. Researchers are creating a multivariate </w:t>
      </w:r>
      <w:r w:rsidRPr="003076DF">
        <w:rPr>
          <w:rFonts w:cs="Times New Roman"/>
          <w:sz w:val="24"/>
          <w:szCs w:val="24"/>
        </w:rPr>
        <w:lastRenderedPageBreak/>
        <w:t>analytical model that looks at the various inputs and attributes that contribute to state employment system performance.</w:t>
      </w:r>
      <w:r w:rsidR="00BC5D14">
        <w:rPr>
          <w:rFonts w:cs="Times New Roman"/>
          <w:sz w:val="24"/>
          <w:szCs w:val="24"/>
        </w:rPr>
        <w:t xml:space="preserve"> This will help us to understand systems more holistically and identify the qualitative differences between higher performing states and their lower performing counterparts. </w:t>
      </w:r>
    </w:p>
    <w:p w14:paraId="38CB44E0" w14:textId="77777777" w:rsidR="00A709A1" w:rsidRPr="003076DF" w:rsidRDefault="00A709A1" w:rsidP="00103B30">
      <w:pPr>
        <w:spacing w:after="0" w:line="480" w:lineRule="auto"/>
        <w:ind w:firstLine="720"/>
        <w:textAlignment w:val="baseline"/>
        <w:rPr>
          <w:rFonts w:eastAsia="Times New Roman" w:cs="Times New Roman"/>
          <w:color w:val="000000"/>
          <w:sz w:val="24"/>
          <w:szCs w:val="24"/>
        </w:rPr>
      </w:pPr>
    </w:p>
    <w:p w14:paraId="4456F9C0" w14:textId="57B81DE1" w:rsidR="00F26DB3" w:rsidRPr="003076DF" w:rsidRDefault="00F26DB3">
      <w:pPr>
        <w:spacing w:after="0" w:line="480" w:lineRule="auto"/>
        <w:textAlignment w:val="baseline"/>
        <w:rPr>
          <w:rFonts w:eastAsia="Times New Roman" w:cs="Times New Roman"/>
          <w:i/>
          <w:color w:val="000000"/>
          <w:sz w:val="24"/>
          <w:szCs w:val="24"/>
        </w:rPr>
      </w:pPr>
      <w:r w:rsidRPr="003076DF">
        <w:rPr>
          <w:rFonts w:eastAsia="Times New Roman" w:cs="Times New Roman"/>
          <w:i/>
          <w:color w:val="000000"/>
          <w:sz w:val="24"/>
          <w:szCs w:val="24"/>
        </w:rPr>
        <w:t xml:space="preserve">Evolution of the Higher Performing Framework </w:t>
      </w:r>
    </w:p>
    <w:p w14:paraId="06CC893E" w14:textId="32271C99" w:rsidR="00CA0CAB" w:rsidRPr="003076DF" w:rsidRDefault="00824F66" w:rsidP="00B85C26">
      <w:pPr>
        <w:pStyle w:val="Singlespace"/>
        <w:spacing w:before="60" w:line="480" w:lineRule="auto"/>
        <w:rPr>
          <w:rFonts w:asciiTheme="minorHAnsi" w:hAnsiTheme="minorHAnsi"/>
        </w:rPr>
      </w:pPr>
      <w:r>
        <w:rPr>
          <w:rFonts w:asciiTheme="minorHAnsi" w:eastAsia="Times New Roman" w:hAnsiTheme="minorHAnsi"/>
        </w:rPr>
        <w:t>The goal</w:t>
      </w:r>
      <w:r w:rsidR="00F26DB3" w:rsidRPr="003076DF">
        <w:rPr>
          <w:rFonts w:asciiTheme="minorHAnsi" w:eastAsia="Times New Roman" w:hAnsiTheme="minorHAnsi"/>
        </w:rPr>
        <w:t xml:space="preserve"> of this research is twofold: </w:t>
      </w:r>
      <w:r w:rsidR="001A3E3A" w:rsidRPr="003076DF">
        <w:rPr>
          <w:rFonts w:asciiTheme="minorHAnsi" w:eastAsia="Times New Roman" w:hAnsiTheme="minorHAnsi"/>
        </w:rPr>
        <w:t>to understand w</w:t>
      </w:r>
      <w:r w:rsidR="00F26DB3" w:rsidRPr="003076DF">
        <w:rPr>
          <w:rFonts w:asciiTheme="minorHAnsi" w:eastAsia="Times New Roman" w:hAnsiTheme="minorHAnsi"/>
        </w:rPr>
        <w:t xml:space="preserve">hat collaborative interagency policies and practices are being implemented in states with relatively high rankings in integrated employment, and </w:t>
      </w:r>
      <w:r w:rsidR="001A3E3A" w:rsidRPr="003076DF">
        <w:rPr>
          <w:rFonts w:asciiTheme="minorHAnsi" w:eastAsia="Times New Roman" w:hAnsiTheme="minorHAnsi"/>
        </w:rPr>
        <w:t>to contribute to the evolution of the research-based Higher</w:t>
      </w:r>
      <w:r w:rsidR="005A7492" w:rsidRPr="003076DF">
        <w:rPr>
          <w:rFonts w:asciiTheme="minorHAnsi" w:eastAsia="Times New Roman" w:hAnsiTheme="minorHAnsi"/>
        </w:rPr>
        <w:t>-</w:t>
      </w:r>
      <w:r w:rsidR="001A3E3A" w:rsidRPr="003076DF">
        <w:rPr>
          <w:rFonts w:asciiTheme="minorHAnsi" w:eastAsia="Times New Roman" w:hAnsiTheme="minorHAnsi"/>
        </w:rPr>
        <w:t>Performing States Employment Framewo</w:t>
      </w:r>
      <w:r w:rsidR="00BC5D14">
        <w:rPr>
          <w:rFonts w:asciiTheme="minorHAnsi" w:eastAsia="Times New Roman" w:hAnsiTheme="minorHAnsi"/>
        </w:rPr>
        <w:t xml:space="preserve">rk </w:t>
      </w:r>
      <w:r w:rsidR="00B60BC8">
        <w:rPr>
          <w:rFonts w:asciiTheme="minorHAnsi" w:eastAsia="Times New Roman" w:hAnsiTheme="minorHAnsi"/>
        </w:rPr>
        <w:t>(see Figure 1 presented earlier in this paper</w:t>
      </w:r>
      <w:r w:rsidR="00BC5D14">
        <w:rPr>
          <w:rFonts w:asciiTheme="minorHAnsi" w:eastAsia="Times New Roman" w:hAnsiTheme="minorHAnsi"/>
        </w:rPr>
        <w:t>)</w:t>
      </w:r>
      <w:r w:rsidR="00B60BC8">
        <w:rPr>
          <w:rFonts w:asciiTheme="minorHAnsi" w:eastAsia="Times New Roman" w:hAnsiTheme="minorHAnsi"/>
        </w:rPr>
        <w:t>.</w:t>
      </w:r>
      <w:r w:rsidR="00BC5D14">
        <w:rPr>
          <w:rFonts w:asciiTheme="minorHAnsi" w:eastAsia="Times New Roman" w:hAnsiTheme="minorHAnsi"/>
        </w:rPr>
        <w:t xml:space="preserve"> </w:t>
      </w:r>
    </w:p>
    <w:p w14:paraId="457AF000" w14:textId="52DF3928" w:rsidR="00D20984" w:rsidRPr="003076DF" w:rsidRDefault="00BC5D14" w:rsidP="00B85C26">
      <w:pPr>
        <w:pStyle w:val="Singlespace"/>
        <w:spacing w:before="60" w:line="480" w:lineRule="auto"/>
        <w:rPr>
          <w:rFonts w:asciiTheme="minorHAnsi" w:hAnsiTheme="minorHAnsi"/>
        </w:rPr>
      </w:pPr>
      <w:r>
        <w:rPr>
          <w:rFonts w:asciiTheme="minorHAnsi" w:hAnsiTheme="minorHAnsi"/>
        </w:rPr>
        <w:t xml:space="preserve">     </w:t>
      </w:r>
      <w:r w:rsidR="008521F3" w:rsidRPr="003076DF">
        <w:rPr>
          <w:rFonts w:asciiTheme="minorHAnsi" w:hAnsiTheme="minorHAnsi"/>
        </w:rPr>
        <w:t>This stu</w:t>
      </w:r>
      <w:r w:rsidR="00095E05" w:rsidRPr="003076DF">
        <w:rPr>
          <w:rFonts w:asciiTheme="minorHAnsi" w:hAnsiTheme="minorHAnsi"/>
        </w:rPr>
        <w:t>dy builds</w:t>
      </w:r>
      <w:r w:rsidR="008521F3" w:rsidRPr="003076DF">
        <w:rPr>
          <w:rFonts w:asciiTheme="minorHAnsi" w:hAnsiTheme="minorHAnsi"/>
        </w:rPr>
        <w:t xml:space="preserve"> on the existing framework of a higher</w:t>
      </w:r>
      <w:r w:rsidR="005A7492" w:rsidRPr="003076DF">
        <w:rPr>
          <w:rFonts w:asciiTheme="minorHAnsi" w:hAnsiTheme="minorHAnsi"/>
        </w:rPr>
        <w:t>-</w:t>
      </w:r>
      <w:r w:rsidR="008521F3" w:rsidRPr="003076DF">
        <w:rPr>
          <w:rFonts w:asciiTheme="minorHAnsi" w:hAnsiTheme="minorHAnsi"/>
        </w:rPr>
        <w:t>performing IDD system</w:t>
      </w:r>
      <w:r w:rsidR="005A7492" w:rsidRPr="003076DF">
        <w:rPr>
          <w:rFonts w:asciiTheme="minorHAnsi" w:hAnsiTheme="minorHAnsi"/>
        </w:rPr>
        <w:t>,</w:t>
      </w:r>
      <w:r w:rsidR="008521F3" w:rsidRPr="003076DF">
        <w:rPr>
          <w:rFonts w:asciiTheme="minorHAnsi" w:hAnsiTheme="minorHAnsi"/>
        </w:rPr>
        <w:t xml:space="preserve"> and explores the elements within </w:t>
      </w:r>
      <w:r w:rsidR="00095E05" w:rsidRPr="003076DF">
        <w:rPr>
          <w:rFonts w:asciiTheme="minorHAnsi" w:hAnsiTheme="minorHAnsi"/>
        </w:rPr>
        <w:t xml:space="preserve">and among </w:t>
      </w:r>
      <w:r w:rsidR="008521F3" w:rsidRPr="003076DF">
        <w:rPr>
          <w:rFonts w:asciiTheme="minorHAnsi" w:hAnsiTheme="minorHAnsi"/>
        </w:rPr>
        <w:t>collaborating system</w:t>
      </w:r>
      <w:r w:rsidR="005A7492" w:rsidRPr="003076DF">
        <w:rPr>
          <w:rFonts w:asciiTheme="minorHAnsi" w:hAnsiTheme="minorHAnsi"/>
        </w:rPr>
        <w:t>s</w:t>
      </w:r>
      <w:r w:rsidR="008521F3" w:rsidRPr="003076DF">
        <w:rPr>
          <w:rFonts w:asciiTheme="minorHAnsi" w:hAnsiTheme="minorHAnsi"/>
        </w:rPr>
        <w:t xml:space="preserve"> (VR and </w:t>
      </w:r>
      <w:r w:rsidR="005A7492" w:rsidRPr="003076DF">
        <w:rPr>
          <w:rFonts w:asciiTheme="minorHAnsi" w:hAnsiTheme="minorHAnsi"/>
        </w:rPr>
        <w:t>education</w:t>
      </w:r>
      <w:r w:rsidR="008521F3" w:rsidRPr="003076DF">
        <w:rPr>
          <w:rFonts w:asciiTheme="minorHAnsi" w:hAnsiTheme="minorHAnsi"/>
        </w:rPr>
        <w:t>) that support employment for pe</w:t>
      </w:r>
      <w:r w:rsidR="00095E05" w:rsidRPr="003076DF">
        <w:rPr>
          <w:rFonts w:asciiTheme="minorHAnsi" w:hAnsiTheme="minorHAnsi"/>
        </w:rPr>
        <w:t>ople with ID</w:t>
      </w:r>
      <w:r w:rsidR="005A7492" w:rsidRPr="003076DF">
        <w:rPr>
          <w:rFonts w:asciiTheme="minorHAnsi" w:hAnsiTheme="minorHAnsi"/>
        </w:rPr>
        <w:t>D</w:t>
      </w:r>
      <w:r w:rsidR="00095E05" w:rsidRPr="003076DF">
        <w:rPr>
          <w:rFonts w:asciiTheme="minorHAnsi" w:hAnsiTheme="minorHAnsi"/>
        </w:rPr>
        <w:t xml:space="preserve">. Through this lens, </w:t>
      </w:r>
      <w:r w:rsidR="005A7492" w:rsidRPr="003076DF">
        <w:rPr>
          <w:rFonts w:asciiTheme="minorHAnsi" w:hAnsiTheme="minorHAnsi"/>
        </w:rPr>
        <w:t>the framework</w:t>
      </w:r>
      <w:r w:rsidR="00095E05" w:rsidRPr="003076DF">
        <w:rPr>
          <w:rFonts w:asciiTheme="minorHAnsi" w:hAnsiTheme="minorHAnsi"/>
        </w:rPr>
        <w:t xml:space="preserve"> investigates</w:t>
      </w:r>
      <w:r w:rsidR="008521F3" w:rsidRPr="003076DF">
        <w:rPr>
          <w:rFonts w:asciiTheme="minorHAnsi" w:hAnsiTheme="minorHAnsi"/>
        </w:rPr>
        <w:t xml:space="preserve"> the conditions that </w:t>
      </w:r>
      <w:r w:rsidR="00095E05" w:rsidRPr="003076DF">
        <w:rPr>
          <w:rFonts w:asciiTheme="minorHAnsi" w:hAnsiTheme="minorHAnsi"/>
        </w:rPr>
        <w:t>allow</w:t>
      </w:r>
      <w:r w:rsidR="008521F3" w:rsidRPr="003076DF">
        <w:rPr>
          <w:rFonts w:asciiTheme="minorHAnsi" w:hAnsiTheme="minorHAnsi"/>
        </w:rPr>
        <w:t xml:space="preserve"> stakeholders to bring these practices to scale acro</w:t>
      </w:r>
      <w:r w:rsidR="004B7E72" w:rsidRPr="003076DF">
        <w:rPr>
          <w:rFonts w:asciiTheme="minorHAnsi" w:hAnsiTheme="minorHAnsi"/>
        </w:rPr>
        <w:t xml:space="preserve">ss states. </w:t>
      </w:r>
    </w:p>
    <w:p w14:paraId="2F5F15FD" w14:textId="12E64E24" w:rsidR="008521F3" w:rsidRPr="003076DF" w:rsidRDefault="00CA0CAB" w:rsidP="00B85C26">
      <w:pPr>
        <w:pStyle w:val="Singlespace"/>
        <w:spacing w:before="60" w:line="480" w:lineRule="auto"/>
        <w:rPr>
          <w:rFonts w:asciiTheme="minorHAnsi" w:eastAsia="Times New Roman" w:hAnsiTheme="minorHAnsi"/>
        </w:rPr>
      </w:pPr>
      <w:r w:rsidRPr="003076DF">
        <w:rPr>
          <w:rFonts w:asciiTheme="minorHAnsi" w:hAnsiTheme="minorHAnsi"/>
        </w:rPr>
        <w:t xml:space="preserve">     </w:t>
      </w:r>
      <w:r w:rsidR="00824F66">
        <w:rPr>
          <w:rFonts w:asciiTheme="minorHAnsi" w:eastAsia="Times New Roman" w:hAnsiTheme="minorHAnsi"/>
        </w:rPr>
        <w:t>Since</w:t>
      </w:r>
      <w:r w:rsidR="008521F3" w:rsidRPr="003076DF">
        <w:rPr>
          <w:rFonts w:asciiTheme="minorHAnsi" w:eastAsia="Times New Roman" w:hAnsiTheme="minorHAnsi"/>
        </w:rPr>
        <w:t xml:space="preserve"> Maryland </w:t>
      </w:r>
      <w:r w:rsidR="004B7E72" w:rsidRPr="003076DF">
        <w:rPr>
          <w:rFonts w:asciiTheme="minorHAnsi" w:eastAsia="Times New Roman" w:hAnsiTheme="minorHAnsi"/>
        </w:rPr>
        <w:t>identified as having achieved the highest ranking in the composite indicator analysis, researchers chose this state for the first case study.</w:t>
      </w:r>
      <w:r w:rsidR="00095E05" w:rsidRPr="003076DF">
        <w:rPr>
          <w:rFonts w:asciiTheme="minorHAnsi" w:eastAsia="Times New Roman" w:hAnsiTheme="minorHAnsi"/>
        </w:rPr>
        <w:t xml:space="preserve"> Initial findings suggest that Maryland</w:t>
      </w:r>
      <w:r w:rsidR="00D20984" w:rsidRPr="003076DF">
        <w:rPr>
          <w:rFonts w:asciiTheme="minorHAnsi" w:eastAsia="Times New Roman" w:hAnsiTheme="minorHAnsi"/>
        </w:rPr>
        <w:t>’s</w:t>
      </w:r>
      <w:r w:rsidR="00095E05" w:rsidRPr="003076DF">
        <w:rPr>
          <w:rFonts w:asciiTheme="minorHAnsi" w:eastAsia="Times New Roman" w:hAnsiTheme="minorHAnsi"/>
        </w:rPr>
        <w:t xml:space="preserve"> employment system</w:t>
      </w:r>
      <w:r w:rsidR="00D20984" w:rsidRPr="003076DF">
        <w:rPr>
          <w:rFonts w:asciiTheme="minorHAnsi" w:eastAsia="Times New Roman" w:hAnsiTheme="minorHAnsi"/>
        </w:rPr>
        <w:t xml:space="preserve"> has matured,</w:t>
      </w:r>
      <w:r w:rsidRPr="003076DF">
        <w:rPr>
          <w:rFonts w:asciiTheme="minorHAnsi" w:eastAsia="Times New Roman" w:hAnsiTheme="minorHAnsi"/>
        </w:rPr>
        <w:t xml:space="preserve"> and emphasizes</w:t>
      </w:r>
      <w:r w:rsidR="00095E05" w:rsidRPr="003076DF">
        <w:rPr>
          <w:rFonts w:asciiTheme="minorHAnsi" w:eastAsia="Times New Roman" w:hAnsiTheme="minorHAnsi"/>
        </w:rPr>
        <w:t xml:space="preserve"> collaboration across agencies, within agencies, and among individuals</w:t>
      </w:r>
      <w:r w:rsidR="00146C98" w:rsidRPr="003076DF">
        <w:rPr>
          <w:rFonts w:asciiTheme="minorHAnsi" w:eastAsia="Times New Roman" w:hAnsiTheme="minorHAnsi"/>
        </w:rPr>
        <w:t>. This approach helps</w:t>
      </w:r>
      <w:r w:rsidR="00095E05" w:rsidRPr="003076DF">
        <w:rPr>
          <w:rFonts w:asciiTheme="minorHAnsi" w:eastAsia="Times New Roman" w:hAnsiTheme="minorHAnsi"/>
        </w:rPr>
        <w:t xml:space="preserve"> create long-standing personal relationships that keep employment outcomes as a key focus in the system. </w:t>
      </w:r>
      <w:r w:rsidR="00E94375" w:rsidRPr="003076DF">
        <w:rPr>
          <w:rFonts w:asciiTheme="minorHAnsi" w:eastAsia="Times New Roman" w:hAnsiTheme="minorHAnsi"/>
        </w:rPr>
        <w:t>Further analysis will focus on communication, culture, and the more granular elements of c</w:t>
      </w:r>
      <w:r w:rsidR="0026024A" w:rsidRPr="003076DF">
        <w:rPr>
          <w:rFonts w:asciiTheme="minorHAnsi" w:eastAsia="Times New Roman" w:hAnsiTheme="minorHAnsi"/>
        </w:rPr>
        <w:t xml:space="preserve">ollaboration within the system. </w:t>
      </w:r>
    </w:p>
    <w:p w14:paraId="369913D0" w14:textId="77777777" w:rsidR="0026024A" w:rsidRPr="003076DF" w:rsidRDefault="0026024A" w:rsidP="00B85C26">
      <w:pPr>
        <w:pStyle w:val="Singlespace"/>
        <w:spacing w:before="60" w:line="480" w:lineRule="auto"/>
        <w:rPr>
          <w:rFonts w:asciiTheme="minorHAnsi" w:eastAsia="Times New Roman" w:hAnsiTheme="minorHAnsi"/>
        </w:rPr>
      </w:pPr>
    </w:p>
    <w:p w14:paraId="478A85DB" w14:textId="72C17DF1" w:rsidR="00095E05" w:rsidRPr="00CA6D73" w:rsidRDefault="00095E05" w:rsidP="00CA6D73">
      <w:pPr>
        <w:spacing w:after="0" w:line="480" w:lineRule="auto"/>
        <w:textAlignment w:val="baseline"/>
        <w:rPr>
          <w:rFonts w:eastAsia="Times New Roman" w:cs="Times New Roman"/>
          <w:i/>
          <w:color w:val="000000"/>
          <w:sz w:val="24"/>
          <w:szCs w:val="24"/>
        </w:rPr>
      </w:pPr>
      <w:r w:rsidRPr="00CA6D73">
        <w:rPr>
          <w:rFonts w:eastAsia="Times New Roman" w:cs="Times New Roman"/>
          <w:i/>
          <w:color w:val="000000"/>
          <w:sz w:val="24"/>
          <w:szCs w:val="24"/>
        </w:rPr>
        <w:lastRenderedPageBreak/>
        <w:t xml:space="preserve">Diving deeper: Highlights from policy analyses </w:t>
      </w:r>
    </w:p>
    <w:p w14:paraId="038BD668" w14:textId="6445D4B9" w:rsidR="00837323" w:rsidRPr="00CA6D73" w:rsidRDefault="00095E05" w:rsidP="00CA6D73">
      <w:pPr>
        <w:autoSpaceDE w:val="0"/>
        <w:autoSpaceDN w:val="0"/>
        <w:adjustRightInd w:val="0"/>
        <w:spacing w:after="0" w:line="480" w:lineRule="auto"/>
        <w:contextualSpacing/>
        <w:rPr>
          <w:rFonts w:cs="Arial"/>
          <w:iCs/>
          <w:sz w:val="24"/>
          <w:szCs w:val="24"/>
        </w:rPr>
      </w:pPr>
      <w:r w:rsidRPr="00CA6D73">
        <w:rPr>
          <w:rFonts w:eastAsia="Times New Roman" w:cs="Times New Roman"/>
          <w:color w:val="000000"/>
          <w:sz w:val="24"/>
          <w:szCs w:val="24"/>
        </w:rPr>
        <w:t xml:space="preserve">RRTC staff and partners conducted two in-depth policy analyses of </w:t>
      </w:r>
      <w:r w:rsidRPr="00CA6D73">
        <w:rPr>
          <w:rFonts w:cs="Times New Roman"/>
          <w:iCs/>
          <w:sz w:val="24"/>
          <w:szCs w:val="24"/>
        </w:rPr>
        <w:t>priority and emerging policy topics that impact employment outcomes and services for individuals served by state IDD agencies.</w:t>
      </w:r>
      <w:r w:rsidR="00480D13" w:rsidRPr="00CA6D73">
        <w:rPr>
          <w:rFonts w:cs="Times New Roman"/>
          <w:iCs/>
          <w:sz w:val="24"/>
          <w:szCs w:val="24"/>
        </w:rPr>
        <w:t xml:space="preserve"> </w:t>
      </w:r>
      <w:r w:rsidR="00BC5D14" w:rsidRPr="00CA6D73">
        <w:rPr>
          <w:rFonts w:cs="Times New Roman"/>
          <w:iCs/>
          <w:sz w:val="24"/>
          <w:szCs w:val="24"/>
        </w:rPr>
        <w:t>Based on the importance of regulations and guidance from the Centers for Medicaid and Medicare and their impact on long-term supports for individuals with IDD, t</w:t>
      </w:r>
      <w:r w:rsidR="00480D13" w:rsidRPr="00CA6D73">
        <w:rPr>
          <w:rFonts w:cs="Times New Roman"/>
          <w:iCs/>
          <w:sz w:val="24"/>
          <w:szCs w:val="24"/>
        </w:rPr>
        <w:t xml:space="preserve">he first topic </w:t>
      </w:r>
      <w:r w:rsidR="00BC5D14" w:rsidRPr="00CA6D73">
        <w:rPr>
          <w:rFonts w:cs="Times New Roman"/>
          <w:iCs/>
          <w:sz w:val="24"/>
          <w:szCs w:val="24"/>
        </w:rPr>
        <w:t xml:space="preserve">chosen </w:t>
      </w:r>
      <w:r w:rsidR="00480D13" w:rsidRPr="00CA6D73">
        <w:rPr>
          <w:rFonts w:cs="Times New Roman"/>
          <w:iCs/>
          <w:sz w:val="24"/>
          <w:szCs w:val="24"/>
        </w:rPr>
        <w:t xml:space="preserve">was how </w:t>
      </w:r>
      <w:r w:rsidR="00AB50DB" w:rsidRPr="00CA6D73">
        <w:rPr>
          <w:rFonts w:eastAsia="Times New Roman" w:cs="Times New Roman"/>
          <w:color w:val="000000"/>
          <w:sz w:val="24"/>
          <w:szCs w:val="24"/>
        </w:rPr>
        <w:t>states are applying the 2011 CMS guidance regarding the intent and outcome of pre-vocational services</w:t>
      </w:r>
      <w:r w:rsidR="009027A8" w:rsidRPr="00CA6D73">
        <w:rPr>
          <w:rFonts w:eastAsia="Times New Roman" w:cs="Times New Roman"/>
          <w:color w:val="000000"/>
          <w:sz w:val="24"/>
          <w:szCs w:val="24"/>
        </w:rPr>
        <w:t>.</w:t>
      </w:r>
      <w:r w:rsidR="00AB50DB" w:rsidRPr="00CA6D73">
        <w:rPr>
          <w:rFonts w:eastAsia="Times New Roman" w:cs="Times New Roman"/>
          <w:color w:val="000000"/>
          <w:sz w:val="24"/>
          <w:szCs w:val="24"/>
        </w:rPr>
        <w:t xml:space="preserve"> </w:t>
      </w:r>
      <w:r w:rsidR="00837323" w:rsidRPr="00CA6D73">
        <w:rPr>
          <w:rFonts w:eastAsia="Times New Roman" w:cs="Times New Roman"/>
          <w:color w:val="000000"/>
          <w:sz w:val="24"/>
          <w:szCs w:val="24"/>
        </w:rPr>
        <w:t xml:space="preserve">The second </w:t>
      </w:r>
      <w:r w:rsidR="00CA6D73" w:rsidRPr="00CA6D73">
        <w:rPr>
          <w:rFonts w:eastAsia="Times New Roman" w:cs="Times New Roman"/>
          <w:color w:val="000000"/>
          <w:sz w:val="24"/>
          <w:szCs w:val="24"/>
        </w:rPr>
        <w:t xml:space="preserve">paper analyzed the </w:t>
      </w:r>
      <w:r w:rsidR="00CA6D73" w:rsidRPr="00CA6D73">
        <w:rPr>
          <w:rFonts w:cs="Arial"/>
          <w:iCs/>
          <w:sz w:val="24"/>
          <w:szCs w:val="24"/>
        </w:rPr>
        <w:t xml:space="preserve">developments and potential strategies to embed employment as a priority for support coordination/ case management in service plan development, implementation and follow-up. This topic was of particular importance because of the focus on IDD system infrastructure and internal strategy and policy and alignment with overall mission and goals. </w:t>
      </w:r>
      <w:r w:rsidR="00CA6D73" w:rsidRPr="00CA6D73">
        <w:rPr>
          <w:rFonts w:eastAsia="Times New Roman" w:cs="Times New Roman"/>
          <w:color w:val="000000"/>
          <w:sz w:val="24"/>
          <w:szCs w:val="24"/>
        </w:rPr>
        <w:t xml:space="preserve">The third topic chosen focused on multi-system collaboration and supporting individuals across the lifespan. </w:t>
      </w:r>
    </w:p>
    <w:p w14:paraId="5840D041" w14:textId="56F08D3E" w:rsidR="00AB50DB" w:rsidRPr="003076DF" w:rsidRDefault="00837323" w:rsidP="00103B30">
      <w:pPr>
        <w:spacing w:after="0" w:line="480" w:lineRule="auto"/>
        <w:ind w:firstLine="720"/>
        <w:textAlignment w:val="baseline"/>
        <w:rPr>
          <w:rFonts w:eastAsia="Times New Roman" w:cs="Times New Roman"/>
          <w:color w:val="000000"/>
          <w:sz w:val="24"/>
          <w:szCs w:val="24"/>
        </w:rPr>
      </w:pPr>
      <w:r w:rsidRPr="003076DF">
        <w:rPr>
          <w:rFonts w:eastAsia="Times New Roman" w:cs="Times New Roman"/>
          <w:color w:val="000000"/>
          <w:sz w:val="24"/>
          <w:szCs w:val="24"/>
        </w:rPr>
        <w:t>To examine the first topic, we considered findings</w:t>
      </w:r>
      <w:r w:rsidR="00AB50DB" w:rsidRPr="003076DF">
        <w:rPr>
          <w:rFonts w:eastAsia="Times New Roman" w:cs="Times New Roman"/>
          <w:color w:val="000000"/>
          <w:sz w:val="24"/>
          <w:szCs w:val="24"/>
        </w:rPr>
        <w:t xml:space="preserve"> from Colorado, New Jersey</w:t>
      </w:r>
      <w:r w:rsidR="009027A8" w:rsidRPr="003076DF">
        <w:rPr>
          <w:rFonts w:eastAsia="Times New Roman" w:cs="Times New Roman"/>
          <w:color w:val="000000"/>
          <w:sz w:val="24"/>
          <w:szCs w:val="24"/>
        </w:rPr>
        <w:t>,</w:t>
      </w:r>
      <w:r w:rsidR="00AB50DB" w:rsidRPr="003076DF">
        <w:rPr>
          <w:rFonts w:eastAsia="Times New Roman" w:cs="Times New Roman"/>
          <w:color w:val="000000"/>
          <w:sz w:val="24"/>
          <w:szCs w:val="24"/>
        </w:rPr>
        <w:t xml:space="preserve"> and Vermont, </w:t>
      </w:r>
      <w:r w:rsidRPr="003076DF">
        <w:rPr>
          <w:rFonts w:eastAsia="Times New Roman" w:cs="Times New Roman"/>
          <w:color w:val="000000"/>
          <w:sz w:val="24"/>
          <w:szCs w:val="24"/>
        </w:rPr>
        <w:t xml:space="preserve">where </w:t>
      </w:r>
      <w:r w:rsidR="00AB50DB" w:rsidRPr="003076DF">
        <w:rPr>
          <w:rFonts w:eastAsia="Times New Roman" w:cs="Times New Roman"/>
          <w:color w:val="000000"/>
          <w:sz w:val="24"/>
          <w:szCs w:val="24"/>
        </w:rPr>
        <w:t>themes emerge</w:t>
      </w:r>
      <w:r w:rsidR="00480D13" w:rsidRPr="003076DF">
        <w:rPr>
          <w:rFonts w:eastAsia="Times New Roman" w:cs="Times New Roman"/>
          <w:color w:val="000000"/>
          <w:sz w:val="24"/>
          <w:szCs w:val="24"/>
        </w:rPr>
        <w:t>d</w:t>
      </w:r>
      <w:r w:rsidR="00AB50DB" w:rsidRPr="003076DF">
        <w:rPr>
          <w:rFonts w:eastAsia="Times New Roman" w:cs="Times New Roman"/>
          <w:color w:val="000000"/>
          <w:sz w:val="24"/>
          <w:szCs w:val="24"/>
        </w:rPr>
        <w:t xml:space="preserve"> in the policies, practices</w:t>
      </w:r>
      <w:r w:rsidR="009027A8" w:rsidRPr="003076DF">
        <w:rPr>
          <w:rFonts w:eastAsia="Times New Roman" w:cs="Times New Roman"/>
          <w:color w:val="000000"/>
          <w:sz w:val="24"/>
          <w:szCs w:val="24"/>
        </w:rPr>
        <w:t>,</w:t>
      </w:r>
      <w:r w:rsidR="00AB50DB" w:rsidRPr="003076DF">
        <w:rPr>
          <w:rFonts w:eastAsia="Times New Roman" w:cs="Times New Roman"/>
          <w:color w:val="000000"/>
          <w:sz w:val="24"/>
          <w:szCs w:val="24"/>
        </w:rPr>
        <w:t xml:space="preserve"> and strategies being u</w:t>
      </w:r>
      <w:r w:rsidR="009027A8" w:rsidRPr="003076DF">
        <w:rPr>
          <w:rFonts w:eastAsia="Times New Roman" w:cs="Times New Roman"/>
          <w:color w:val="000000"/>
          <w:sz w:val="24"/>
          <w:szCs w:val="24"/>
        </w:rPr>
        <w:t>s</w:t>
      </w:r>
      <w:r w:rsidR="00AB50DB" w:rsidRPr="003076DF">
        <w:rPr>
          <w:rFonts w:eastAsia="Times New Roman" w:cs="Times New Roman"/>
          <w:color w:val="000000"/>
          <w:sz w:val="24"/>
          <w:szCs w:val="24"/>
        </w:rPr>
        <w:t>ed to increase integrated employment. Each state demonstrate</w:t>
      </w:r>
      <w:r w:rsidR="00480D13" w:rsidRPr="003076DF">
        <w:rPr>
          <w:rFonts w:eastAsia="Times New Roman" w:cs="Times New Roman"/>
          <w:color w:val="000000"/>
          <w:sz w:val="24"/>
          <w:szCs w:val="24"/>
        </w:rPr>
        <w:t>d</w:t>
      </w:r>
      <w:r w:rsidR="00AB50DB" w:rsidRPr="003076DF">
        <w:rPr>
          <w:rFonts w:eastAsia="Times New Roman" w:cs="Times New Roman"/>
          <w:color w:val="000000"/>
          <w:sz w:val="24"/>
          <w:szCs w:val="24"/>
        </w:rPr>
        <w:t xml:space="preserve"> strong leadership</w:t>
      </w:r>
      <w:r w:rsidR="009027A8" w:rsidRPr="003076DF">
        <w:rPr>
          <w:rFonts w:eastAsia="Times New Roman" w:cs="Times New Roman"/>
          <w:color w:val="000000"/>
          <w:sz w:val="24"/>
          <w:szCs w:val="24"/>
        </w:rPr>
        <w:t>,</w:t>
      </w:r>
      <w:r w:rsidR="00AB50DB" w:rsidRPr="003076DF">
        <w:rPr>
          <w:rFonts w:eastAsia="Times New Roman" w:cs="Times New Roman"/>
          <w:color w:val="000000"/>
          <w:sz w:val="24"/>
          <w:szCs w:val="24"/>
        </w:rPr>
        <w:t xml:space="preserve"> and promote</w:t>
      </w:r>
      <w:r w:rsidR="00480D13" w:rsidRPr="003076DF">
        <w:rPr>
          <w:rFonts w:eastAsia="Times New Roman" w:cs="Times New Roman"/>
          <w:color w:val="000000"/>
          <w:sz w:val="24"/>
          <w:szCs w:val="24"/>
        </w:rPr>
        <w:t>d</w:t>
      </w:r>
      <w:r w:rsidR="00AB50DB" w:rsidRPr="003076DF">
        <w:rPr>
          <w:rFonts w:eastAsia="Times New Roman" w:cs="Times New Roman"/>
          <w:color w:val="000000"/>
          <w:sz w:val="24"/>
          <w:szCs w:val="24"/>
        </w:rPr>
        <w:t xml:space="preserve"> the value of integrated employment. Leadership</w:t>
      </w:r>
      <w:r w:rsidR="00480D13" w:rsidRPr="003076DF">
        <w:rPr>
          <w:rFonts w:eastAsia="Times New Roman" w:cs="Times New Roman"/>
          <w:color w:val="000000"/>
          <w:sz w:val="24"/>
          <w:szCs w:val="24"/>
        </w:rPr>
        <w:t xml:space="preserve"> </w:t>
      </w:r>
      <w:r w:rsidR="00AB50DB" w:rsidRPr="003076DF">
        <w:rPr>
          <w:rFonts w:eastAsia="Times New Roman" w:cs="Times New Roman"/>
          <w:color w:val="000000"/>
          <w:sz w:val="24"/>
          <w:szCs w:val="24"/>
        </w:rPr>
        <w:t>is evident through setting values and direction, making and communicating commitments, focusing on collaborative action, and creating systemic change that supports employment</w:t>
      </w:r>
      <w:r w:rsidR="00480D13" w:rsidRPr="003076DF">
        <w:rPr>
          <w:rFonts w:eastAsia="Times New Roman" w:cs="Times New Roman"/>
          <w:color w:val="000000"/>
          <w:sz w:val="24"/>
          <w:szCs w:val="24"/>
        </w:rPr>
        <w:t xml:space="preserve"> as a priority</w:t>
      </w:r>
      <w:r w:rsidR="00AB50DB" w:rsidRPr="003076DF">
        <w:rPr>
          <w:rFonts w:eastAsia="Times New Roman" w:cs="Times New Roman"/>
          <w:color w:val="000000"/>
          <w:sz w:val="24"/>
          <w:szCs w:val="24"/>
        </w:rPr>
        <w:t>.</w:t>
      </w:r>
      <w:r w:rsidR="00AB50DB" w:rsidRPr="003076DF">
        <w:rPr>
          <w:rFonts w:cs="Times New Roman"/>
          <w:sz w:val="24"/>
          <w:szCs w:val="24"/>
        </w:rPr>
        <w:t xml:space="preserve"> </w:t>
      </w:r>
      <w:r w:rsidR="00AB50DB" w:rsidRPr="003076DF">
        <w:rPr>
          <w:rFonts w:eastAsia="Times New Roman" w:cs="Times New Roman"/>
          <w:color w:val="000000"/>
          <w:sz w:val="24"/>
          <w:szCs w:val="24"/>
        </w:rPr>
        <w:t xml:space="preserve">These states </w:t>
      </w:r>
      <w:r w:rsidR="00480D13" w:rsidRPr="003076DF">
        <w:rPr>
          <w:rFonts w:eastAsia="Times New Roman" w:cs="Times New Roman"/>
          <w:color w:val="000000"/>
          <w:sz w:val="24"/>
          <w:szCs w:val="24"/>
        </w:rPr>
        <w:t xml:space="preserve">were able to </w:t>
      </w:r>
      <w:r w:rsidR="00AB50DB" w:rsidRPr="003076DF">
        <w:rPr>
          <w:rFonts w:eastAsia="Times New Roman" w:cs="Times New Roman"/>
          <w:color w:val="000000"/>
          <w:sz w:val="24"/>
          <w:szCs w:val="24"/>
        </w:rPr>
        <w:t>articulat</w:t>
      </w:r>
      <w:r w:rsidR="00480D13" w:rsidRPr="003076DF">
        <w:rPr>
          <w:rFonts w:eastAsia="Times New Roman" w:cs="Times New Roman"/>
          <w:color w:val="000000"/>
          <w:sz w:val="24"/>
          <w:szCs w:val="24"/>
        </w:rPr>
        <w:t>e</w:t>
      </w:r>
      <w:r w:rsidR="00AB50DB" w:rsidRPr="003076DF">
        <w:rPr>
          <w:rFonts w:eastAsia="Times New Roman" w:cs="Times New Roman"/>
          <w:color w:val="000000"/>
          <w:sz w:val="24"/>
          <w:szCs w:val="24"/>
        </w:rPr>
        <w:t xml:space="preserve"> the importance of employment, mov</w:t>
      </w:r>
      <w:r w:rsidR="00480D13" w:rsidRPr="003076DF">
        <w:rPr>
          <w:rFonts w:eastAsia="Times New Roman" w:cs="Times New Roman"/>
          <w:color w:val="000000"/>
          <w:sz w:val="24"/>
          <w:szCs w:val="24"/>
        </w:rPr>
        <w:t>ed</w:t>
      </w:r>
      <w:r w:rsidR="00AB50DB" w:rsidRPr="003076DF">
        <w:rPr>
          <w:rFonts w:eastAsia="Times New Roman" w:cs="Times New Roman"/>
          <w:color w:val="000000"/>
          <w:sz w:val="24"/>
          <w:szCs w:val="24"/>
        </w:rPr>
        <w:t xml:space="preserve"> ahead </w:t>
      </w:r>
      <w:r w:rsidR="007D7E25" w:rsidRPr="003076DF">
        <w:rPr>
          <w:rFonts w:eastAsia="Times New Roman" w:cs="Times New Roman"/>
          <w:color w:val="000000"/>
          <w:sz w:val="24"/>
          <w:szCs w:val="24"/>
        </w:rPr>
        <w:t xml:space="preserve">regardless </w:t>
      </w:r>
      <w:r w:rsidR="0057441C" w:rsidRPr="003076DF">
        <w:rPr>
          <w:rFonts w:eastAsia="Times New Roman" w:cs="Times New Roman"/>
          <w:color w:val="000000"/>
          <w:sz w:val="24"/>
          <w:szCs w:val="24"/>
        </w:rPr>
        <w:t>of state budget issues</w:t>
      </w:r>
      <w:r w:rsidR="007D7E25" w:rsidRPr="003076DF">
        <w:rPr>
          <w:rFonts w:eastAsia="Times New Roman" w:cs="Times New Roman"/>
          <w:color w:val="000000"/>
          <w:sz w:val="24"/>
          <w:szCs w:val="24"/>
        </w:rPr>
        <w:t>,</w:t>
      </w:r>
      <w:r w:rsidR="00AB50DB" w:rsidRPr="003076DF">
        <w:rPr>
          <w:rFonts w:eastAsia="Times New Roman" w:cs="Times New Roman"/>
          <w:color w:val="000000"/>
          <w:sz w:val="24"/>
          <w:szCs w:val="24"/>
        </w:rPr>
        <w:t xml:space="preserve"> and created the infrastructure </w:t>
      </w:r>
      <w:r w:rsidR="0057441C" w:rsidRPr="003076DF">
        <w:rPr>
          <w:rFonts w:eastAsia="Times New Roman" w:cs="Times New Roman"/>
          <w:color w:val="000000"/>
          <w:sz w:val="24"/>
          <w:szCs w:val="24"/>
        </w:rPr>
        <w:t xml:space="preserve">within their systems </w:t>
      </w:r>
      <w:r w:rsidR="00AB50DB" w:rsidRPr="003076DF">
        <w:rPr>
          <w:rFonts w:eastAsia="Times New Roman" w:cs="Times New Roman"/>
          <w:color w:val="000000"/>
          <w:sz w:val="24"/>
          <w:szCs w:val="24"/>
        </w:rPr>
        <w:t>for innovations. States shared power with stakeholders, encouraging leadership to develop at all levels</w:t>
      </w:r>
      <w:r w:rsidR="00480D13" w:rsidRPr="003076DF">
        <w:rPr>
          <w:rFonts w:eastAsia="Times New Roman" w:cs="Times New Roman"/>
          <w:color w:val="000000"/>
          <w:sz w:val="24"/>
          <w:szCs w:val="24"/>
        </w:rPr>
        <w:t xml:space="preserve">. </w:t>
      </w:r>
    </w:p>
    <w:p w14:paraId="71002E04" w14:textId="0001C311" w:rsidR="00A7476D" w:rsidRPr="003076DF" w:rsidRDefault="00AB50DB" w:rsidP="00FA282D">
      <w:pPr>
        <w:spacing w:after="0" w:line="480" w:lineRule="auto"/>
        <w:textAlignment w:val="baseline"/>
        <w:rPr>
          <w:rFonts w:eastAsia="Times New Roman" w:cs="Times New Roman"/>
          <w:color w:val="000000"/>
          <w:sz w:val="24"/>
          <w:szCs w:val="24"/>
        </w:rPr>
      </w:pPr>
      <w:r w:rsidRPr="003076DF">
        <w:rPr>
          <w:rFonts w:eastAsia="Times New Roman" w:cs="Times New Roman"/>
          <w:color w:val="000000"/>
          <w:sz w:val="24"/>
          <w:szCs w:val="24"/>
        </w:rPr>
        <w:lastRenderedPageBreak/>
        <w:tab/>
      </w:r>
      <w:r w:rsidR="0057441C" w:rsidRPr="003076DF">
        <w:rPr>
          <w:rFonts w:eastAsia="Times New Roman" w:cs="Times New Roman"/>
          <w:color w:val="000000"/>
          <w:sz w:val="24"/>
          <w:szCs w:val="24"/>
        </w:rPr>
        <w:t xml:space="preserve">In considering the second topic, we drafted a paper focused on </w:t>
      </w:r>
      <w:r w:rsidR="00480D13" w:rsidRPr="003076DF">
        <w:rPr>
          <w:rFonts w:eastAsia="Times New Roman" w:cs="Times New Roman"/>
          <w:color w:val="000000"/>
          <w:sz w:val="24"/>
          <w:szCs w:val="24"/>
        </w:rPr>
        <w:t xml:space="preserve">support coordination strategies that impact employment outcomes. </w:t>
      </w:r>
      <w:r w:rsidR="00FA282D" w:rsidRPr="003076DF">
        <w:rPr>
          <w:rFonts w:eastAsia="Times New Roman" w:cs="Times New Roman"/>
          <w:color w:val="000000"/>
          <w:sz w:val="24"/>
          <w:szCs w:val="24"/>
        </w:rPr>
        <w:t xml:space="preserve">Support coordinators assist individuals with IDD to obtain and </w:t>
      </w:r>
      <w:r w:rsidR="00480D13" w:rsidRPr="003076DF">
        <w:rPr>
          <w:rFonts w:eastAsia="Times New Roman" w:cs="Times New Roman"/>
          <w:color w:val="000000"/>
          <w:sz w:val="24"/>
          <w:szCs w:val="24"/>
        </w:rPr>
        <w:t>maintain employment</w:t>
      </w:r>
      <w:r w:rsidR="00FA282D" w:rsidRPr="003076DF">
        <w:rPr>
          <w:rFonts w:eastAsia="Times New Roman" w:cs="Times New Roman"/>
          <w:color w:val="000000"/>
          <w:sz w:val="24"/>
          <w:szCs w:val="24"/>
        </w:rPr>
        <w:t>. Their jobs are complex, with multiple responsibilities. As Cooper</w:t>
      </w:r>
      <w:r w:rsidR="00C510D2" w:rsidRPr="003076DF">
        <w:rPr>
          <w:rFonts w:eastAsia="Times New Roman" w:cs="Times New Roman"/>
          <w:color w:val="000000"/>
          <w:sz w:val="24"/>
          <w:szCs w:val="24"/>
        </w:rPr>
        <w:t xml:space="preserve"> (2016) </w:t>
      </w:r>
      <w:r w:rsidR="00FA282D" w:rsidRPr="003076DF">
        <w:rPr>
          <w:rFonts w:eastAsia="Times New Roman" w:cs="Times New Roman"/>
          <w:color w:val="000000"/>
          <w:sz w:val="24"/>
          <w:szCs w:val="24"/>
        </w:rPr>
        <w:t>notes, “Case managers engage in high quality, person-centered planning that keeps the full focus on the person. But how case managers engage with individuals and families is critical to setting expectations about the services system and the opportunities--and</w:t>
      </w:r>
      <w:r w:rsidR="003607DB">
        <w:rPr>
          <w:rFonts w:eastAsia="Times New Roman" w:cs="Times New Roman"/>
          <w:color w:val="000000"/>
          <w:sz w:val="24"/>
          <w:szCs w:val="24"/>
        </w:rPr>
        <w:t xml:space="preserve"> limitations--within the system</w:t>
      </w:r>
      <w:r w:rsidR="00FA282D" w:rsidRPr="003076DF">
        <w:rPr>
          <w:rFonts w:eastAsia="Times New Roman" w:cs="Times New Roman"/>
          <w:color w:val="000000"/>
          <w:sz w:val="24"/>
          <w:szCs w:val="24"/>
        </w:rPr>
        <w:t xml:space="preserve">”  </w:t>
      </w:r>
      <w:r w:rsidR="003607DB">
        <w:rPr>
          <w:rFonts w:eastAsia="Times New Roman" w:cs="Times New Roman"/>
          <w:color w:val="000000"/>
          <w:sz w:val="24"/>
          <w:szCs w:val="24"/>
        </w:rPr>
        <w:t xml:space="preserve">(as cited in NASDDDS, 2016). </w:t>
      </w:r>
    </w:p>
    <w:p w14:paraId="5BE5B681" w14:textId="34FFF524" w:rsidR="0047148B" w:rsidRPr="003076DF" w:rsidRDefault="00FA282D" w:rsidP="00103B30">
      <w:pPr>
        <w:spacing w:after="0" w:line="480" w:lineRule="auto"/>
        <w:ind w:firstLine="720"/>
        <w:textAlignment w:val="baseline"/>
        <w:rPr>
          <w:rFonts w:eastAsia="Times New Roman" w:cs="Times New Roman"/>
          <w:color w:val="000000"/>
          <w:sz w:val="24"/>
          <w:szCs w:val="24"/>
        </w:rPr>
      </w:pPr>
      <w:r w:rsidRPr="003076DF">
        <w:rPr>
          <w:rFonts w:eastAsia="Times New Roman" w:cs="Times New Roman"/>
          <w:color w:val="000000"/>
          <w:sz w:val="24"/>
          <w:szCs w:val="24"/>
        </w:rPr>
        <w:t xml:space="preserve">The person centered planning and settings components of the HCBS </w:t>
      </w:r>
      <w:r w:rsidR="0057441C" w:rsidRPr="003076DF">
        <w:rPr>
          <w:rFonts w:eastAsia="Times New Roman" w:cs="Times New Roman"/>
          <w:color w:val="000000"/>
          <w:sz w:val="24"/>
          <w:szCs w:val="24"/>
        </w:rPr>
        <w:t>Final R</w:t>
      </w:r>
      <w:r w:rsidRPr="003076DF">
        <w:rPr>
          <w:rFonts w:eastAsia="Times New Roman" w:cs="Times New Roman"/>
          <w:color w:val="000000"/>
          <w:sz w:val="24"/>
          <w:szCs w:val="24"/>
        </w:rPr>
        <w:t xml:space="preserve">ule </w:t>
      </w:r>
      <w:r w:rsidR="00D3201A">
        <w:rPr>
          <w:rFonts w:eastAsia="Times New Roman" w:cs="Times New Roman"/>
          <w:color w:val="000000"/>
          <w:sz w:val="24"/>
          <w:szCs w:val="24"/>
        </w:rPr>
        <w:t xml:space="preserve">can </w:t>
      </w:r>
      <w:r w:rsidRPr="003076DF">
        <w:rPr>
          <w:rFonts w:eastAsia="Times New Roman" w:cs="Times New Roman"/>
          <w:color w:val="000000"/>
          <w:sz w:val="24"/>
          <w:szCs w:val="24"/>
        </w:rPr>
        <w:t>provide a strong foundation for support coordinators to further meaningful conversations with individuals, families</w:t>
      </w:r>
      <w:r w:rsidR="0071731A" w:rsidRPr="003076DF">
        <w:rPr>
          <w:rFonts w:eastAsia="Times New Roman" w:cs="Times New Roman"/>
          <w:color w:val="000000"/>
          <w:sz w:val="24"/>
          <w:szCs w:val="24"/>
        </w:rPr>
        <w:t>,</w:t>
      </w:r>
      <w:r w:rsidRPr="003076DF">
        <w:rPr>
          <w:rFonts w:eastAsia="Times New Roman" w:cs="Times New Roman"/>
          <w:color w:val="000000"/>
          <w:sz w:val="24"/>
          <w:szCs w:val="24"/>
        </w:rPr>
        <w:t xml:space="preserve"> and teams. States are finding new ways to improve the person</w:t>
      </w:r>
      <w:r w:rsidR="0071731A" w:rsidRPr="003076DF">
        <w:rPr>
          <w:rFonts w:eastAsia="Times New Roman" w:cs="Times New Roman"/>
          <w:color w:val="000000"/>
          <w:sz w:val="24"/>
          <w:szCs w:val="24"/>
        </w:rPr>
        <w:t>-</w:t>
      </w:r>
      <w:r w:rsidRPr="003076DF">
        <w:rPr>
          <w:rFonts w:eastAsia="Times New Roman" w:cs="Times New Roman"/>
          <w:color w:val="000000"/>
          <w:sz w:val="24"/>
          <w:szCs w:val="24"/>
        </w:rPr>
        <w:t>centere</w:t>
      </w:r>
      <w:r w:rsidR="00011B90" w:rsidRPr="003076DF">
        <w:rPr>
          <w:rFonts w:eastAsia="Times New Roman" w:cs="Times New Roman"/>
          <w:color w:val="000000"/>
          <w:sz w:val="24"/>
          <w:szCs w:val="24"/>
        </w:rPr>
        <w:t>d planning process that involve</w:t>
      </w:r>
      <w:r w:rsidRPr="003076DF">
        <w:rPr>
          <w:rFonts w:eastAsia="Times New Roman" w:cs="Times New Roman"/>
          <w:color w:val="000000"/>
          <w:sz w:val="24"/>
          <w:szCs w:val="24"/>
        </w:rPr>
        <w:t xml:space="preserve"> guidance, questions</w:t>
      </w:r>
      <w:r w:rsidR="00234888" w:rsidRPr="003076DF">
        <w:rPr>
          <w:rFonts w:eastAsia="Times New Roman" w:cs="Times New Roman"/>
          <w:color w:val="000000"/>
          <w:sz w:val="24"/>
          <w:szCs w:val="24"/>
        </w:rPr>
        <w:t>,</w:t>
      </w:r>
      <w:r w:rsidRPr="003076DF">
        <w:rPr>
          <w:rFonts w:eastAsia="Times New Roman" w:cs="Times New Roman"/>
          <w:color w:val="000000"/>
          <w:sz w:val="24"/>
          <w:szCs w:val="24"/>
        </w:rPr>
        <w:t xml:space="preserve"> and potential action steps for support coordinators to use with teams </w:t>
      </w:r>
      <w:r w:rsidR="00C510D2" w:rsidRPr="003076DF">
        <w:rPr>
          <w:rFonts w:eastAsia="Times New Roman" w:cs="Times New Roman"/>
          <w:color w:val="000000"/>
          <w:sz w:val="24"/>
          <w:szCs w:val="24"/>
        </w:rPr>
        <w:t>when a person is not working</w:t>
      </w:r>
      <w:r w:rsidR="0057441C" w:rsidRPr="003076DF">
        <w:rPr>
          <w:rFonts w:eastAsia="Times New Roman" w:cs="Times New Roman"/>
          <w:color w:val="000000"/>
          <w:sz w:val="24"/>
          <w:szCs w:val="24"/>
        </w:rPr>
        <w:t xml:space="preserve"> and has not expressed interest in a job</w:t>
      </w:r>
      <w:r w:rsidR="00C510D2" w:rsidRPr="003076DF">
        <w:rPr>
          <w:rFonts w:eastAsia="Times New Roman" w:cs="Times New Roman"/>
          <w:color w:val="000000"/>
          <w:sz w:val="24"/>
          <w:szCs w:val="24"/>
        </w:rPr>
        <w:t xml:space="preserve">, </w:t>
      </w:r>
      <w:r w:rsidR="0057441C" w:rsidRPr="003076DF">
        <w:rPr>
          <w:rFonts w:eastAsia="Times New Roman" w:cs="Times New Roman"/>
          <w:color w:val="000000"/>
          <w:sz w:val="24"/>
          <w:szCs w:val="24"/>
        </w:rPr>
        <w:t xml:space="preserve">is </w:t>
      </w:r>
      <w:r w:rsidR="00C510D2" w:rsidRPr="003076DF">
        <w:rPr>
          <w:rFonts w:eastAsia="Times New Roman" w:cs="Times New Roman"/>
          <w:color w:val="000000"/>
          <w:sz w:val="24"/>
          <w:szCs w:val="24"/>
        </w:rPr>
        <w:t xml:space="preserve">not working but would like a job, or </w:t>
      </w:r>
      <w:r w:rsidR="0057441C" w:rsidRPr="003076DF">
        <w:rPr>
          <w:rFonts w:eastAsia="Times New Roman" w:cs="Times New Roman"/>
          <w:color w:val="000000"/>
          <w:sz w:val="24"/>
          <w:szCs w:val="24"/>
        </w:rPr>
        <w:t xml:space="preserve">is </w:t>
      </w:r>
      <w:r w:rsidR="00C510D2" w:rsidRPr="003076DF">
        <w:rPr>
          <w:rFonts w:eastAsia="Times New Roman" w:cs="Times New Roman"/>
          <w:color w:val="000000"/>
          <w:sz w:val="24"/>
          <w:szCs w:val="24"/>
        </w:rPr>
        <w:t xml:space="preserve">working and seeking growth opportunities. </w:t>
      </w:r>
    </w:p>
    <w:p w14:paraId="34DE811F" w14:textId="14212209" w:rsidR="00B53A31" w:rsidRPr="003076DF" w:rsidRDefault="00FA282D" w:rsidP="00103B30">
      <w:pPr>
        <w:spacing w:after="0" w:line="480" w:lineRule="auto"/>
        <w:ind w:firstLine="720"/>
        <w:textAlignment w:val="baseline"/>
        <w:rPr>
          <w:rFonts w:eastAsia="Times New Roman" w:cs="Times New Roman"/>
          <w:color w:val="000000"/>
          <w:sz w:val="24"/>
          <w:szCs w:val="24"/>
        </w:rPr>
      </w:pPr>
      <w:r w:rsidRPr="003076DF">
        <w:rPr>
          <w:rFonts w:eastAsia="Times New Roman" w:cs="Times New Roman"/>
          <w:color w:val="000000"/>
          <w:sz w:val="24"/>
          <w:szCs w:val="24"/>
        </w:rPr>
        <w:t>There is no one way to determine how the pathway is developed and implemented in a state, but developing guidance with a stakeholder group, analyzing what can be done to embed the pathway into the person-centered planning process</w:t>
      </w:r>
      <w:r w:rsidR="0047148B" w:rsidRPr="003076DF">
        <w:rPr>
          <w:rFonts w:eastAsia="Times New Roman" w:cs="Times New Roman"/>
          <w:color w:val="000000"/>
          <w:sz w:val="24"/>
          <w:szCs w:val="24"/>
        </w:rPr>
        <w:t>,</w:t>
      </w:r>
      <w:r w:rsidRPr="003076DF">
        <w:rPr>
          <w:rFonts w:eastAsia="Times New Roman" w:cs="Times New Roman"/>
          <w:color w:val="000000"/>
          <w:sz w:val="24"/>
          <w:szCs w:val="24"/>
        </w:rPr>
        <w:t xml:space="preserve"> and looking at how pathway guidance assists during different life stages</w:t>
      </w:r>
      <w:r w:rsidR="003B20E7" w:rsidRPr="003076DF">
        <w:rPr>
          <w:rFonts w:eastAsia="Times New Roman" w:cs="Times New Roman"/>
          <w:color w:val="000000"/>
          <w:sz w:val="24"/>
          <w:szCs w:val="24"/>
        </w:rPr>
        <w:t xml:space="preserve"> were identified as </w:t>
      </w:r>
      <w:r w:rsidRPr="003076DF">
        <w:rPr>
          <w:rFonts w:eastAsia="Times New Roman" w:cs="Times New Roman"/>
          <w:color w:val="000000"/>
          <w:sz w:val="24"/>
          <w:szCs w:val="24"/>
        </w:rPr>
        <w:t xml:space="preserve">promising practices. </w:t>
      </w:r>
      <w:r w:rsidR="00B53A31" w:rsidRPr="003076DF">
        <w:rPr>
          <w:rFonts w:eastAsia="Times New Roman" w:cs="Times New Roman"/>
          <w:color w:val="000000"/>
          <w:sz w:val="24"/>
          <w:szCs w:val="24"/>
        </w:rPr>
        <w:t>The next policy analysis will address strategies for interagency collaboration</w:t>
      </w:r>
      <w:r w:rsidR="0047148B" w:rsidRPr="003076DF">
        <w:rPr>
          <w:rFonts w:eastAsia="Times New Roman" w:cs="Times New Roman"/>
          <w:color w:val="000000"/>
          <w:sz w:val="24"/>
          <w:szCs w:val="24"/>
        </w:rPr>
        <w:t>,</w:t>
      </w:r>
      <w:r w:rsidR="00B53A31" w:rsidRPr="003076DF">
        <w:rPr>
          <w:rFonts w:eastAsia="Times New Roman" w:cs="Times New Roman"/>
          <w:color w:val="000000"/>
          <w:sz w:val="24"/>
          <w:szCs w:val="24"/>
        </w:rPr>
        <w:t xml:space="preserve"> with the goal of seamless transition throughout systems and across the lifespan. </w:t>
      </w:r>
    </w:p>
    <w:p w14:paraId="26778C89" w14:textId="77777777" w:rsidR="0057035C" w:rsidRPr="003076DF" w:rsidRDefault="0057035C" w:rsidP="0057035C">
      <w:pPr>
        <w:spacing w:after="0" w:line="480" w:lineRule="auto"/>
        <w:textAlignment w:val="baseline"/>
        <w:rPr>
          <w:rFonts w:eastAsia="Times New Roman" w:cs="Times New Roman"/>
          <w:color w:val="000000"/>
          <w:sz w:val="24"/>
          <w:szCs w:val="24"/>
        </w:rPr>
      </w:pPr>
    </w:p>
    <w:p w14:paraId="548A3F5A" w14:textId="1393D93C" w:rsidR="0057035C" w:rsidRPr="003076DF" w:rsidRDefault="0057035C" w:rsidP="00011B90">
      <w:pPr>
        <w:spacing w:after="0" w:line="480" w:lineRule="auto"/>
        <w:textAlignment w:val="baseline"/>
        <w:rPr>
          <w:rFonts w:eastAsia="Times New Roman" w:cs="Times New Roman"/>
          <w:color w:val="000000"/>
          <w:sz w:val="24"/>
          <w:szCs w:val="24"/>
        </w:rPr>
      </w:pPr>
      <w:r w:rsidRPr="003076DF">
        <w:rPr>
          <w:rFonts w:eastAsia="Times New Roman" w:cs="Times New Roman"/>
          <w:color w:val="000000"/>
          <w:sz w:val="24"/>
          <w:szCs w:val="24"/>
          <w:u w:val="single"/>
        </w:rPr>
        <w:t>Discussion</w:t>
      </w:r>
      <w:r w:rsidRPr="003076DF">
        <w:rPr>
          <w:rFonts w:eastAsia="Times New Roman" w:cs="Times New Roman"/>
          <w:color w:val="000000"/>
          <w:sz w:val="24"/>
          <w:szCs w:val="24"/>
        </w:rPr>
        <w:t xml:space="preserve"> </w:t>
      </w:r>
    </w:p>
    <w:p w14:paraId="04EACF56" w14:textId="1F5FF201" w:rsidR="00700904" w:rsidRPr="003076DF" w:rsidRDefault="00B53A31" w:rsidP="00011B90">
      <w:pPr>
        <w:autoSpaceDE w:val="0"/>
        <w:autoSpaceDN w:val="0"/>
        <w:adjustRightInd w:val="0"/>
        <w:spacing w:after="0" w:line="480" w:lineRule="auto"/>
        <w:rPr>
          <w:rFonts w:cs="Times New Roman"/>
          <w:sz w:val="24"/>
          <w:szCs w:val="24"/>
        </w:rPr>
      </w:pPr>
      <w:r w:rsidRPr="003076DF">
        <w:rPr>
          <w:rFonts w:eastAsia="Times New Roman" w:cs="Times New Roman"/>
          <w:color w:val="000000"/>
          <w:sz w:val="24"/>
          <w:szCs w:val="24"/>
        </w:rPr>
        <w:lastRenderedPageBreak/>
        <w:t>The 2015 Nati</w:t>
      </w:r>
      <w:r w:rsidR="00011B90" w:rsidRPr="003076DF">
        <w:rPr>
          <w:rFonts w:eastAsia="Times New Roman" w:cs="Times New Roman"/>
          <w:color w:val="000000"/>
          <w:sz w:val="24"/>
          <w:szCs w:val="24"/>
        </w:rPr>
        <w:t>onal Goals Conference facilitated discussion and papers that</w:t>
      </w:r>
      <w:r w:rsidR="00011B90" w:rsidRPr="003076DF">
        <w:rPr>
          <w:rFonts w:cs="AdvTTa399daa3"/>
          <w:sz w:val="24"/>
          <w:szCs w:val="24"/>
        </w:rPr>
        <w:t xml:space="preserve"> identified: points of contention in the field of employment for people with IDD; methodological challenges to researching employment and economic self-sufficiency; unanswered questions; and the next big ideas and paradigm shifts that would advance employment outcomes (Nord et al, 2016).  Participants called </w:t>
      </w:r>
      <w:r w:rsidR="002A5B98" w:rsidRPr="003076DF">
        <w:rPr>
          <w:rFonts w:eastAsia="Times New Roman" w:cs="Times New Roman"/>
          <w:color w:val="000000"/>
          <w:sz w:val="24"/>
          <w:szCs w:val="24"/>
        </w:rPr>
        <w:t>for an “improved, comparative understanding of related policy (and) practice…inputs, (and their) resulting outcomes”</w:t>
      </w:r>
      <w:r w:rsidR="00011B90" w:rsidRPr="003076DF">
        <w:rPr>
          <w:rFonts w:eastAsia="Times New Roman" w:cs="Times New Roman"/>
          <w:color w:val="000000"/>
          <w:sz w:val="24"/>
          <w:szCs w:val="24"/>
        </w:rPr>
        <w:t xml:space="preserve"> and emphasized </w:t>
      </w:r>
      <w:r w:rsidR="002A5B98" w:rsidRPr="003076DF">
        <w:rPr>
          <w:rFonts w:eastAsia="Times New Roman" w:cs="Times New Roman"/>
          <w:color w:val="000000"/>
          <w:sz w:val="24"/>
          <w:szCs w:val="24"/>
        </w:rPr>
        <w:t>the need for alignment among syste</w:t>
      </w:r>
      <w:r w:rsidR="00011B90" w:rsidRPr="003076DF">
        <w:rPr>
          <w:rFonts w:eastAsia="Times New Roman" w:cs="Times New Roman"/>
          <w:color w:val="000000"/>
          <w:sz w:val="24"/>
          <w:szCs w:val="24"/>
        </w:rPr>
        <w:t xml:space="preserve">ms. </w:t>
      </w:r>
      <w:r w:rsidR="00490B09" w:rsidRPr="003076DF">
        <w:rPr>
          <w:rFonts w:eastAsia="Times New Roman" w:cs="Times New Roman"/>
          <w:color w:val="000000"/>
          <w:sz w:val="24"/>
          <w:szCs w:val="24"/>
        </w:rPr>
        <w:t>This alignment</w:t>
      </w:r>
      <w:r w:rsidR="002A5B98" w:rsidRPr="003076DF">
        <w:rPr>
          <w:rFonts w:eastAsia="Times New Roman" w:cs="Times New Roman"/>
          <w:color w:val="000000"/>
          <w:sz w:val="24"/>
          <w:szCs w:val="24"/>
        </w:rPr>
        <w:t xml:space="preserve"> will result in more people entering the workforce, earning higher wages and working more hours. </w:t>
      </w:r>
      <w:r w:rsidR="00700904" w:rsidRPr="003076DF">
        <w:rPr>
          <w:rFonts w:eastAsia="Times New Roman" w:cs="Times New Roman"/>
          <w:color w:val="000000"/>
          <w:sz w:val="24"/>
          <w:szCs w:val="24"/>
        </w:rPr>
        <w:t xml:space="preserve">The current research takes steps to address this challenge by studying </w:t>
      </w:r>
      <w:r w:rsidR="00700904" w:rsidRPr="003076DF">
        <w:rPr>
          <w:rFonts w:cs="Times New Roman"/>
          <w:sz w:val="24"/>
          <w:szCs w:val="24"/>
        </w:rPr>
        <w:t>state employment systems’ policies and practices and their relationship to individual outcomes</w:t>
      </w:r>
      <w:r w:rsidR="00522526" w:rsidRPr="003076DF">
        <w:rPr>
          <w:rFonts w:cs="Times New Roman"/>
          <w:sz w:val="24"/>
          <w:szCs w:val="24"/>
        </w:rPr>
        <w:t>,</w:t>
      </w:r>
      <w:r w:rsidR="00700904" w:rsidRPr="003076DF">
        <w:rPr>
          <w:rFonts w:cs="Times New Roman"/>
          <w:sz w:val="24"/>
          <w:szCs w:val="24"/>
        </w:rPr>
        <w:t xml:space="preserve"> and defining strategies of high-performing, collaborative state employment systems.</w:t>
      </w:r>
    </w:p>
    <w:p w14:paraId="181957C6" w14:textId="6ED31CA8" w:rsidR="00E55DB0" w:rsidRDefault="00C510D2" w:rsidP="00011B90">
      <w:pPr>
        <w:spacing w:after="0" w:line="480" w:lineRule="auto"/>
        <w:textAlignment w:val="baseline"/>
        <w:rPr>
          <w:rFonts w:eastAsia="Times New Roman" w:cs="Times New Roman"/>
          <w:color w:val="000000"/>
          <w:sz w:val="24"/>
          <w:szCs w:val="24"/>
        </w:rPr>
      </w:pPr>
      <w:r w:rsidRPr="003076DF">
        <w:rPr>
          <w:rFonts w:eastAsia="Times New Roman" w:cs="Times New Roman"/>
          <w:color w:val="000000"/>
          <w:sz w:val="24"/>
          <w:szCs w:val="24"/>
        </w:rPr>
        <w:tab/>
      </w:r>
      <w:r w:rsidR="00700904" w:rsidRPr="003076DF">
        <w:rPr>
          <w:rFonts w:eastAsia="Times New Roman" w:cs="Times New Roman"/>
          <w:color w:val="000000"/>
          <w:sz w:val="24"/>
          <w:szCs w:val="24"/>
        </w:rPr>
        <w:t xml:space="preserve">The composite indicator research that ranks state employment systems provides a foundation for </w:t>
      </w:r>
      <w:r w:rsidRPr="003076DF">
        <w:rPr>
          <w:rFonts w:eastAsia="Times New Roman" w:cs="Times New Roman"/>
          <w:color w:val="000000"/>
          <w:sz w:val="24"/>
          <w:szCs w:val="24"/>
        </w:rPr>
        <w:t>understanding how well states perform in comparison to one another</w:t>
      </w:r>
      <w:r w:rsidR="00700904" w:rsidRPr="003076DF">
        <w:rPr>
          <w:rFonts w:eastAsia="Times New Roman" w:cs="Times New Roman"/>
          <w:color w:val="000000"/>
          <w:sz w:val="24"/>
          <w:szCs w:val="24"/>
        </w:rPr>
        <w:t xml:space="preserve">. The research does not </w:t>
      </w:r>
      <w:r w:rsidR="00E55DB0" w:rsidRPr="003076DF">
        <w:rPr>
          <w:rFonts w:eastAsia="Times New Roman" w:cs="Times New Roman"/>
          <w:color w:val="000000"/>
          <w:sz w:val="24"/>
          <w:szCs w:val="24"/>
        </w:rPr>
        <w:t>attempt to identify a benchmark states should achieve in terms of system or individual employment outcomes.</w:t>
      </w:r>
      <w:r w:rsidR="00700904" w:rsidRPr="003076DF">
        <w:rPr>
          <w:rFonts w:eastAsia="Times New Roman" w:cs="Times New Roman"/>
          <w:color w:val="000000"/>
          <w:sz w:val="24"/>
          <w:szCs w:val="24"/>
        </w:rPr>
        <w:t xml:space="preserve"> Rather, </w:t>
      </w:r>
      <w:r w:rsidR="000E4FE8" w:rsidRPr="003076DF">
        <w:rPr>
          <w:rFonts w:eastAsia="Times New Roman" w:cs="Times New Roman"/>
          <w:color w:val="000000"/>
          <w:sz w:val="24"/>
          <w:szCs w:val="24"/>
        </w:rPr>
        <w:t>it</w:t>
      </w:r>
      <w:r w:rsidR="00E55DB0" w:rsidRPr="003076DF">
        <w:rPr>
          <w:rFonts w:eastAsia="Times New Roman" w:cs="Times New Roman"/>
          <w:color w:val="000000"/>
          <w:sz w:val="24"/>
          <w:szCs w:val="24"/>
        </w:rPr>
        <w:t xml:space="preserve"> </w:t>
      </w:r>
      <w:r w:rsidR="00700904" w:rsidRPr="003076DF">
        <w:rPr>
          <w:rFonts w:eastAsia="Times New Roman" w:cs="Times New Roman"/>
          <w:color w:val="000000"/>
          <w:sz w:val="24"/>
          <w:szCs w:val="24"/>
        </w:rPr>
        <w:t>enabl</w:t>
      </w:r>
      <w:r w:rsidR="000E4FE8" w:rsidRPr="003076DF">
        <w:rPr>
          <w:rFonts w:eastAsia="Times New Roman" w:cs="Times New Roman"/>
          <w:color w:val="000000"/>
          <w:sz w:val="24"/>
          <w:szCs w:val="24"/>
        </w:rPr>
        <w:t>es</w:t>
      </w:r>
      <w:r w:rsidR="00700904" w:rsidRPr="003076DF">
        <w:rPr>
          <w:rFonts w:eastAsia="Times New Roman" w:cs="Times New Roman"/>
          <w:color w:val="000000"/>
          <w:sz w:val="24"/>
          <w:szCs w:val="24"/>
        </w:rPr>
        <w:t xml:space="preserve"> the identification of </w:t>
      </w:r>
      <w:r w:rsidR="00E55DB0" w:rsidRPr="003076DF">
        <w:rPr>
          <w:rFonts w:eastAsia="Times New Roman" w:cs="Times New Roman"/>
          <w:color w:val="000000"/>
          <w:sz w:val="24"/>
          <w:szCs w:val="24"/>
        </w:rPr>
        <w:t>states that are performing higher relative to others</w:t>
      </w:r>
      <w:r w:rsidR="000E4FE8" w:rsidRPr="003076DF">
        <w:rPr>
          <w:rFonts w:eastAsia="Times New Roman" w:cs="Times New Roman"/>
          <w:color w:val="000000"/>
          <w:sz w:val="24"/>
          <w:szCs w:val="24"/>
        </w:rPr>
        <w:t>,</w:t>
      </w:r>
      <w:r w:rsidR="00E55DB0" w:rsidRPr="003076DF">
        <w:rPr>
          <w:rFonts w:eastAsia="Times New Roman" w:cs="Times New Roman"/>
          <w:color w:val="000000"/>
          <w:sz w:val="24"/>
          <w:szCs w:val="24"/>
        </w:rPr>
        <w:t xml:space="preserve"> so that </w:t>
      </w:r>
      <w:r w:rsidR="00700904" w:rsidRPr="003076DF">
        <w:rPr>
          <w:rFonts w:eastAsia="Times New Roman" w:cs="Times New Roman"/>
          <w:color w:val="000000"/>
          <w:sz w:val="24"/>
          <w:szCs w:val="24"/>
        </w:rPr>
        <w:t xml:space="preserve">that as a field we </w:t>
      </w:r>
      <w:r w:rsidRPr="003076DF">
        <w:rPr>
          <w:rFonts w:eastAsia="Times New Roman" w:cs="Times New Roman"/>
          <w:color w:val="000000"/>
          <w:sz w:val="24"/>
          <w:szCs w:val="24"/>
        </w:rPr>
        <w:t>can identi</w:t>
      </w:r>
      <w:r w:rsidR="000E4FE8" w:rsidRPr="003076DF">
        <w:rPr>
          <w:rFonts w:eastAsia="Times New Roman" w:cs="Times New Roman"/>
          <w:color w:val="000000"/>
          <w:sz w:val="24"/>
          <w:szCs w:val="24"/>
        </w:rPr>
        <w:t>f</w:t>
      </w:r>
      <w:r w:rsidRPr="003076DF">
        <w:rPr>
          <w:rFonts w:eastAsia="Times New Roman" w:cs="Times New Roman"/>
          <w:color w:val="000000"/>
          <w:sz w:val="24"/>
          <w:szCs w:val="24"/>
        </w:rPr>
        <w:t xml:space="preserve">y and seek to replicate </w:t>
      </w:r>
      <w:r w:rsidR="00700904" w:rsidRPr="003076DF">
        <w:rPr>
          <w:rFonts w:eastAsia="Times New Roman" w:cs="Times New Roman"/>
          <w:color w:val="000000"/>
          <w:sz w:val="24"/>
          <w:szCs w:val="24"/>
        </w:rPr>
        <w:t xml:space="preserve">promising practices. </w:t>
      </w:r>
      <w:r w:rsidR="00554F38" w:rsidRPr="003076DF">
        <w:rPr>
          <w:rFonts w:eastAsia="Times New Roman" w:cs="Times New Roman"/>
          <w:color w:val="000000"/>
          <w:sz w:val="24"/>
          <w:szCs w:val="24"/>
        </w:rPr>
        <w:t>This is the backbone and intent of our research</w:t>
      </w:r>
      <w:r w:rsidR="000E4FE8" w:rsidRPr="003076DF">
        <w:rPr>
          <w:rFonts w:eastAsia="Times New Roman" w:cs="Times New Roman"/>
          <w:color w:val="000000"/>
          <w:sz w:val="24"/>
          <w:szCs w:val="24"/>
        </w:rPr>
        <w:t>:</w:t>
      </w:r>
      <w:r w:rsidR="00554F38" w:rsidRPr="003076DF">
        <w:rPr>
          <w:rFonts w:eastAsia="Times New Roman" w:cs="Times New Roman"/>
          <w:color w:val="000000"/>
          <w:sz w:val="24"/>
          <w:szCs w:val="24"/>
        </w:rPr>
        <w:t xml:space="preserve"> bringing these practices “to scale” so that more people with IDD and their communities can benefit from systems change efforts. </w:t>
      </w:r>
    </w:p>
    <w:p w14:paraId="49DE25E8" w14:textId="74E84C4B" w:rsidR="00837885" w:rsidRPr="003076DF" w:rsidRDefault="00837885" w:rsidP="00011B90">
      <w:pPr>
        <w:spacing w:after="0" w:line="480" w:lineRule="auto"/>
        <w:textAlignment w:val="baseline"/>
        <w:rPr>
          <w:rFonts w:eastAsia="Times New Roman" w:cs="Times New Roman"/>
          <w:color w:val="000000"/>
          <w:sz w:val="24"/>
          <w:szCs w:val="24"/>
        </w:rPr>
      </w:pPr>
      <w:r>
        <w:rPr>
          <w:rFonts w:eastAsia="Times New Roman" w:cs="Times New Roman"/>
          <w:color w:val="000000"/>
          <w:sz w:val="24"/>
          <w:szCs w:val="24"/>
        </w:rPr>
        <w:tab/>
        <w:t xml:space="preserve">The higher performing systems case studies </w:t>
      </w:r>
      <w:r w:rsidR="0062117E">
        <w:rPr>
          <w:rFonts w:eastAsia="Times New Roman" w:cs="Times New Roman"/>
          <w:color w:val="000000"/>
          <w:sz w:val="24"/>
          <w:szCs w:val="24"/>
        </w:rPr>
        <w:t xml:space="preserve">seeks to expand and give context to the contextual factors that support state IDD, VR, and ED agencies to support a high percentage of individuals with IDD in employment. The description of policies and practices that occur within </w:t>
      </w:r>
      <w:r w:rsidR="00D3201A">
        <w:rPr>
          <w:rFonts w:eastAsia="Times New Roman" w:cs="Times New Roman"/>
          <w:color w:val="000000"/>
          <w:sz w:val="24"/>
          <w:szCs w:val="24"/>
        </w:rPr>
        <w:lastRenderedPageBreak/>
        <w:t>individual</w:t>
      </w:r>
      <w:r w:rsidR="0062117E">
        <w:rPr>
          <w:rFonts w:eastAsia="Times New Roman" w:cs="Times New Roman"/>
          <w:color w:val="000000"/>
          <w:sz w:val="24"/>
          <w:szCs w:val="24"/>
        </w:rPr>
        <w:t xml:space="preserve"> state agencies and across state agencies provides valuable information to support the implementation of the both federal and state laws and initiatives to improve the economic outcomes of individuals with IDD. Preliminary findings from the first case study suggests that there is a longitudinal component to state’s success that depends on a cadre of stakeholders within state go</w:t>
      </w:r>
      <w:r w:rsidR="00D3201A">
        <w:rPr>
          <w:rFonts w:eastAsia="Times New Roman" w:cs="Times New Roman"/>
          <w:color w:val="000000"/>
          <w:sz w:val="24"/>
          <w:szCs w:val="24"/>
        </w:rPr>
        <w:t xml:space="preserve">vernment, the service provider </w:t>
      </w:r>
      <w:r w:rsidR="0062117E">
        <w:rPr>
          <w:rFonts w:eastAsia="Times New Roman" w:cs="Times New Roman"/>
          <w:color w:val="000000"/>
          <w:sz w:val="24"/>
          <w:szCs w:val="24"/>
        </w:rPr>
        <w:t xml:space="preserve">community, and the advocacy community </w:t>
      </w:r>
      <w:r w:rsidR="00361ED2">
        <w:rPr>
          <w:rFonts w:eastAsia="Times New Roman" w:cs="Times New Roman"/>
          <w:color w:val="000000"/>
          <w:sz w:val="24"/>
          <w:szCs w:val="24"/>
        </w:rPr>
        <w:t>to maintain a</w:t>
      </w:r>
      <w:r w:rsidR="0062117E">
        <w:rPr>
          <w:rFonts w:eastAsia="Times New Roman" w:cs="Times New Roman"/>
          <w:color w:val="000000"/>
          <w:sz w:val="24"/>
          <w:szCs w:val="24"/>
        </w:rPr>
        <w:t xml:space="preserve"> focus on individual integrated employment as a priority. </w:t>
      </w:r>
      <w:r w:rsidR="00F46E68">
        <w:rPr>
          <w:rFonts w:eastAsia="Times New Roman" w:cs="Times New Roman"/>
          <w:color w:val="000000"/>
          <w:sz w:val="24"/>
          <w:szCs w:val="24"/>
        </w:rPr>
        <w:t>Additional findings from the initial case study also suggest that state agency policy and practices that specifically address how services and supports for individuals will evolve over time is an important component of</w:t>
      </w:r>
      <w:r w:rsidR="00361ED2">
        <w:rPr>
          <w:rFonts w:eastAsia="Times New Roman" w:cs="Times New Roman"/>
          <w:color w:val="000000"/>
          <w:sz w:val="24"/>
          <w:szCs w:val="24"/>
        </w:rPr>
        <w:t xml:space="preserve"> building an Employment First c</w:t>
      </w:r>
      <w:r w:rsidR="00F46E68">
        <w:rPr>
          <w:rFonts w:eastAsia="Times New Roman" w:cs="Times New Roman"/>
          <w:color w:val="000000"/>
          <w:sz w:val="24"/>
          <w:szCs w:val="24"/>
        </w:rPr>
        <w:t xml:space="preserve">ulture.    </w:t>
      </w:r>
    </w:p>
    <w:p w14:paraId="79D1CE64" w14:textId="22421CFB" w:rsidR="00C1419C" w:rsidRPr="003076DF" w:rsidRDefault="00554F38" w:rsidP="00B85C26">
      <w:pPr>
        <w:autoSpaceDE w:val="0"/>
        <w:autoSpaceDN w:val="0"/>
        <w:adjustRightInd w:val="0"/>
        <w:spacing w:after="0" w:line="480" w:lineRule="auto"/>
        <w:rPr>
          <w:rFonts w:cs="Times New Roman"/>
          <w:sz w:val="24"/>
          <w:szCs w:val="24"/>
        </w:rPr>
      </w:pPr>
      <w:r w:rsidRPr="003076DF">
        <w:rPr>
          <w:rFonts w:eastAsia="Times New Roman" w:cs="Times New Roman"/>
          <w:color w:val="000000"/>
          <w:sz w:val="24"/>
          <w:szCs w:val="24"/>
        </w:rPr>
        <w:tab/>
        <w:t xml:space="preserve">While the current research seeks to answer many questions, it also brings up areas for future study. National Core Indicator data analysis suggests that </w:t>
      </w:r>
      <w:r w:rsidR="00011B90" w:rsidRPr="003076DF">
        <w:rPr>
          <w:rFonts w:eastAsia="Times New Roman" w:cs="Times New Roman"/>
          <w:color w:val="000000"/>
          <w:sz w:val="24"/>
          <w:szCs w:val="24"/>
        </w:rPr>
        <w:t xml:space="preserve">the type of setting in which a person receives services may be related to specific demographic characteristics. </w:t>
      </w:r>
      <w:r w:rsidR="005179BE" w:rsidRPr="003076DF">
        <w:rPr>
          <w:rFonts w:cs="Times New Roman"/>
          <w:sz w:val="24"/>
          <w:szCs w:val="24"/>
        </w:rPr>
        <w:t>Understanding the influence of these demographic factors can assist in the development of targeted training, interventions, and support</w:t>
      </w:r>
      <w:r w:rsidR="002F2741" w:rsidRPr="003076DF">
        <w:rPr>
          <w:rFonts w:cs="Times New Roman"/>
          <w:sz w:val="24"/>
          <w:szCs w:val="24"/>
        </w:rPr>
        <w:t>s</w:t>
      </w:r>
      <w:r w:rsidR="00011B90" w:rsidRPr="003076DF">
        <w:rPr>
          <w:rFonts w:cs="Times New Roman"/>
          <w:sz w:val="24"/>
          <w:szCs w:val="24"/>
        </w:rPr>
        <w:t xml:space="preserve"> throughout multiple areas in a service system. </w:t>
      </w:r>
      <w:r w:rsidR="005179BE" w:rsidRPr="003076DF">
        <w:rPr>
          <w:rFonts w:cs="Times New Roman"/>
          <w:sz w:val="24"/>
          <w:szCs w:val="24"/>
        </w:rPr>
        <w:t xml:space="preserve">As states identify their strategies for responding to new policies and regulations regarding employment of people with </w:t>
      </w:r>
      <w:r w:rsidR="00011B90" w:rsidRPr="003076DF">
        <w:rPr>
          <w:rFonts w:cs="Times New Roman"/>
          <w:sz w:val="24"/>
          <w:szCs w:val="24"/>
        </w:rPr>
        <w:t xml:space="preserve">IDD, </w:t>
      </w:r>
      <w:r w:rsidR="005179BE" w:rsidRPr="003076DF">
        <w:rPr>
          <w:rFonts w:cs="Times New Roman"/>
          <w:sz w:val="24"/>
          <w:szCs w:val="24"/>
        </w:rPr>
        <w:t xml:space="preserve">knowing the influence of demographics on employment profiles </w:t>
      </w:r>
      <w:r w:rsidR="00C1419C" w:rsidRPr="003076DF">
        <w:rPr>
          <w:rFonts w:cs="Times New Roman"/>
          <w:sz w:val="24"/>
          <w:szCs w:val="24"/>
        </w:rPr>
        <w:t>can be useful in</w:t>
      </w:r>
      <w:r w:rsidR="005179BE" w:rsidRPr="003076DF">
        <w:rPr>
          <w:rFonts w:cs="Times New Roman"/>
          <w:sz w:val="24"/>
          <w:szCs w:val="24"/>
        </w:rPr>
        <w:t xml:space="preserve"> developing the most effective programs that will </w:t>
      </w:r>
      <w:r w:rsidR="006E17D5" w:rsidRPr="003076DF">
        <w:rPr>
          <w:rFonts w:cs="Times New Roman"/>
          <w:sz w:val="24"/>
          <w:szCs w:val="24"/>
        </w:rPr>
        <w:t>enable</w:t>
      </w:r>
      <w:r w:rsidR="005179BE" w:rsidRPr="003076DF">
        <w:rPr>
          <w:rFonts w:cs="Times New Roman"/>
          <w:sz w:val="24"/>
          <w:szCs w:val="24"/>
        </w:rPr>
        <w:t xml:space="preserve"> all people with disabilities, </w:t>
      </w:r>
      <w:r w:rsidR="006E17D5" w:rsidRPr="003076DF">
        <w:rPr>
          <w:rFonts w:cs="Times New Roman"/>
          <w:sz w:val="24"/>
          <w:szCs w:val="24"/>
        </w:rPr>
        <w:t xml:space="preserve">regardless </w:t>
      </w:r>
      <w:r w:rsidR="005179BE" w:rsidRPr="003076DF">
        <w:rPr>
          <w:rFonts w:cs="Times New Roman"/>
          <w:sz w:val="24"/>
          <w:szCs w:val="24"/>
        </w:rPr>
        <w:t xml:space="preserve">of </w:t>
      </w:r>
      <w:r w:rsidR="00361ED2">
        <w:rPr>
          <w:rFonts w:cs="Times New Roman"/>
          <w:sz w:val="24"/>
          <w:szCs w:val="24"/>
        </w:rPr>
        <w:t>gender, level of disability, or guardianship status,</w:t>
      </w:r>
      <w:r w:rsidR="005179BE" w:rsidRPr="003076DF">
        <w:rPr>
          <w:rFonts w:cs="Times New Roman"/>
          <w:sz w:val="24"/>
          <w:szCs w:val="24"/>
        </w:rPr>
        <w:t xml:space="preserve"> </w:t>
      </w:r>
      <w:r w:rsidR="006E17D5" w:rsidRPr="003076DF">
        <w:rPr>
          <w:rFonts w:cs="Times New Roman"/>
          <w:sz w:val="24"/>
          <w:szCs w:val="24"/>
        </w:rPr>
        <w:t xml:space="preserve">to </w:t>
      </w:r>
      <w:r w:rsidR="005179BE" w:rsidRPr="003076DF">
        <w:rPr>
          <w:rFonts w:cs="Times New Roman"/>
          <w:sz w:val="24"/>
          <w:szCs w:val="24"/>
        </w:rPr>
        <w:t xml:space="preserve">have the best opportunity for community employment. </w:t>
      </w:r>
    </w:p>
    <w:p w14:paraId="6E84C38A" w14:textId="7AF8E2A3" w:rsidR="002F5B77" w:rsidRDefault="006B68B3" w:rsidP="006B68B3">
      <w:pPr>
        <w:autoSpaceDE w:val="0"/>
        <w:autoSpaceDN w:val="0"/>
        <w:adjustRightInd w:val="0"/>
        <w:spacing w:after="0" w:line="480" w:lineRule="auto"/>
        <w:ind w:firstLine="720"/>
        <w:contextualSpacing/>
        <w:rPr>
          <w:rFonts w:eastAsia="Times New Roman" w:cs="Times New Roman"/>
          <w:color w:val="000000"/>
          <w:sz w:val="24"/>
          <w:szCs w:val="24"/>
        </w:rPr>
      </w:pPr>
      <w:r>
        <w:rPr>
          <w:rFonts w:eastAsia="Times New Roman" w:cs="Times New Roman"/>
          <w:color w:val="000000"/>
          <w:sz w:val="24"/>
          <w:szCs w:val="24"/>
        </w:rPr>
        <w:t xml:space="preserve">The outcomes of the </w:t>
      </w:r>
      <w:r w:rsidR="00427C82" w:rsidRPr="00CA6D73">
        <w:rPr>
          <w:rFonts w:eastAsia="Times New Roman" w:cs="Times New Roman"/>
          <w:color w:val="000000"/>
          <w:sz w:val="24"/>
          <w:szCs w:val="24"/>
        </w:rPr>
        <w:t xml:space="preserve">in-depth policy analyses of </w:t>
      </w:r>
      <w:r w:rsidR="00427C82" w:rsidRPr="00CA6D73">
        <w:rPr>
          <w:rFonts w:cs="Times New Roman"/>
          <w:iCs/>
          <w:sz w:val="24"/>
          <w:szCs w:val="24"/>
        </w:rPr>
        <w:t xml:space="preserve">priority and emerging policy topics </w:t>
      </w:r>
      <w:r>
        <w:rPr>
          <w:rFonts w:cs="Times New Roman"/>
          <w:iCs/>
          <w:sz w:val="24"/>
          <w:szCs w:val="24"/>
        </w:rPr>
        <w:t xml:space="preserve">ties together and provides specifics that can help states build not only their employment service systems but help those systems better respond to individuals unique life circumstances. The </w:t>
      </w:r>
      <w:r>
        <w:rPr>
          <w:rFonts w:cs="Times New Roman"/>
          <w:iCs/>
          <w:sz w:val="24"/>
          <w:szCs w:val="24"/>
        </w:rPr>
        <w:lastRenderedPageBreak/>
        <w:t xml:space="preserve">higher performing systems case studies have identified the importance of evolving expectations for employment and developing a culture of integrated employment; the first policy paper on </w:t>
      </w:r>
      <w:r w:rsidR="00427C82" w:rsidRPr="00CA6D73">
        <w:rPr>
          <w:rFonts w:cs="Times New Roman"/>
          <w:iCs/>
          <w:sz w:val="24"/>
          <w:szCs w:val="24"/>
        </w:rPr>
        <w:t xml:space="preserve">how </w:t>
      </w:r>
      <w:r w:rsidR="00427C82" w:rsidRPr="00CA6D73">
        <w:rPr>
          <w:rFonts w:eastAsia="Times New Roman" w:cs="Times New Roman"/>
          <w:color w:val="000000"/>
          <w:sz w:val="24"/>
          <w:szCs w:val="24"/>
        </w:rPr>
        <w:t>states are applying the 2011 CMS guidance regarding the intent and outcome of pre-vocational services</w:t>
      </w:r>
      <w:r>
        <w:rPr>
          <w:rFonts w:eastAsia="Times New Roman" w:cs="Times New Roman"/>
          <w:color w:val="000000"/>
          <w:sz w:val="24"/>
          <w:szCs w:val="24"/>
        </w:rPr>
        <w:t xml:space="preserve"> provides replicable strategies to help states go beyond following a policy but truly embracing the long term possibilities of supporting individuals to move to employment in the community</w:t>
      </w:r>
      <w:r w:rsidR="00427C82" w:rsidRPr="00CA6D73">
        <w:rPr>
          <w:rFonts w:eastAsia="Times New Roman" w:cs="Times New Roman"/>
          <w:color w:val="000000"/>
          <w:sz w:val="24"/>
          <w:szCs w:val="24"/>
        </w:rPr>
        <w:t xml:space="preserve">. </w:t>
      </w:r>
      <w:r>
        <w:rPr>
          <w:rFonts w:eastAsia="Times New Roman" w:cs="Times New Roman"/>
          <w:color w:val="000000"/>
          <w:sz w:val="24"/>
          <w:szCs w:val="24"/>
        </w:rPr>
        <w:t>Paralleling this</w:t>
      </w:r>
      <w:r w:rsidR="003F0B4E">
        <w:rPr>
          <w:rFonts w:eastAsia="Times New Roman" w:cs="Times New Roman"/>
          <w:color w:val="000000"/>
          <w:sz w:val="24"/>
          <w:szCs w:val="24"/>
        </w:rPr>
        <w:t>,</w:t>
      </w:r>
      <w:r>
        <w:rPr>
          <w:rFonts w:eastAsia="Times New Roman" w:cs="Times New Roman"/>
          <w:color w:val="000000"/>
          <w:sz w:val="24"/>
          <w:szCs w:val="24"/>
        </w:rPr>
        <w:t xml:space="preserve"> the </w:t>
      </w:r>
      <w:r w:rsidR="00427C82" w:rsidRPr="00CA6D73">
        <w:rPr>
          <w:rFonts w:eastAsia="Times New Roman" w:cs="Times New Roman"/>
          <w:color w:val="000000"/>
          <w:sz w:val="24"/>
          <w:szCs w:val="24"/>
        </w:rPr>
        <w:t xml:space="preserve">second </w:t>
      </w:r>
      <w:r>
        <w:rPr>
          <w:rFonts w:eastAsia="Times New Roman" w:cs="Times New Roman"/>
          <w:color w:val="000000"/>
          <w:sz w:val="24"/>
          <w:szCs w:val="24"/>
        </w:rPr>
        <w:t xml:space="preserve">policy </w:t>
      </w:r>
      <w:r w:rsidR="00427C82" w:rsidRPr="00CA6D73">
        <w:rPr>
          <w:rFonts w:eastAsia="Times New Roman" w:cs="Times New Roman"/>
          <w:color w:val="000000"/>
          <w:sz w:val="24"/>
          <w:szCs w:val="24"/>
        </w:rPr>
        <w:t>paper</w:t>
      </w:r>
      <w:r>
        <w:rPr>
          <w:rFonts w:eastAsia="Times New Roman" w:cs="Times New Roman"/>
          <w:color w:val="000000"/>
          <w:sz w:val="24"/>
          <w:szCs w:val="24"/>
        </w:rPr>
        <w:t>s</w:t>
      </w:r>
      <w:r w:rsidR="00427C82" w:rsidRPr="00CA6D73">
        <w:rPr>
          <w:rFonts w:eastAsia="Times New Roman" w:cs="Times New Roman"/>
          <w:color w:val="000000"/>
          <w:sz w:val="24"/>
          <w:szCs w:val="24"/>
        </w:rPr>
        <w:t xml:space="preserve"> </w:t>
      </w:r>
      <w:r>
        <w:rPr>
          <w:rFonts w:eastAsia="Times New Roman" w:cs="Times New Roman"/>
          <w:color w:val="000000"/>
          <w:sz w:val="24"/>
          <w:szCs w:val="24"/>
        </w:rPr>
        <w:t xml:space="preserve">focus on </w:t>
      </w:r>
      <w:r w:rsidR="00427C82" w:rsidRPr="00CA6D73">
        <w:rPr>
          <w:rFonts w:cs="Arial"/>
          <w:iCs/>
          <w:sz w:val="24"/>
          <w:szCs w:val="24"/>
        </w:rPr>
        <w:t xml:space="preserve">strategies to embed employment as a priority for support coordination/ case management in service plan development, implementation and follow-up. </w:t>
      </w:r>
      <w:r w:rsidR="002F5B77">
        <w:rPr>
          <w:rFonts w:eastAsia="Times New Roman" w:cs="Times New Roman"/>
          <w:color w:val="000000"/>
          <w:sz w:val="24"/>
          <w:szCs w:val="24"/>
        </w:rPr>
        <w:t>The third policy analysis topic chosen focuses</w:t>
      </w:r>
      <w:r w:rsidR="002F5B77" w:rsidRPr="00CA6D73">
        <w:rPr>
          <w:rFonts w:eastAsia="Times New Roman" w:cs="Times New Roman"/>
          <w:color w:val="000000"/>
          <w:sz w:val="24"/>
          <w:szCs w:val="24"/>
        </w:rPr>
        <w:t xml:space="preserve"> on multi-system collaboration and supporting i</w:t>
      </w:r>
      <w:r w:rsidR="002F5B77">
        <w:rPr>
          <w:rFonts w:eastAsia="Times New Roman" w:cs="Times New Roman"/>
          <w:color w:val="000000"/>
          <w:sz w:val="24"/>
          <w:szCs w:val="24"/>
        </w:rPr>
        <w:t xml:space="preserve">ndividuals across the lifespan which provides fodder for changes at the state agency level but also connects to the findings of </w:t>
      </w:r>
      <w:r w:rsidR="00361ED2">
        <w:rPr>
          <w:rFonts w:eastAsia="Times New Roman" w:cs="Times New Roman"/>
          <w:color w:val="000000"/>
          <w:sz w:val="24"/>
          <w:szCs w:val="24"/>
        </w:rPr>
        <w:t>this project</w:t>
      </w:r>
      <w:r w:rsidR="00B60BC8">
        <w:rPr>
          <w:rFonts w:eastAsia="Times New Roman" w:cs="Times New Roman"/>
          <w:color w:val="000000"/>
          <w:sz w:val="24"/>
          <w:szCs w:val="24"/>
        </w:rPr>
        <w:t>’s</w:t>
      </w:r>
      <w:r w:rsidR="00361ED2">
        <w:rPr>
          <w:rFonts w:eastAsia="Times New Roman" w:cs="Times New Roman"/>
          <w:color w:val="000000"/>
          <w:sz w:val="24"/>
          <w:szCs w:val="24"/>
        </w:rPr>
        <w:t xml:space="preserve"> family engagement research (see Kramer et al, </w:t>
      </w:r>
      <w:r w:rsidR="007348FE">
        <w:rPr>
          <w:rFonts w:eastAsia="Times New Roman" w:cs="Times New Roman"/>
          <w:color w:val="000000"/>
          <w:sz w:val="24"/>
          <w:szCs w:val="24"/>
        </w:rPr>
        <w:t>2017</w:t>
      </w:r>
      <w:r w:rsidR="00361ED2">
        <w:rPr>
          <w:rFonts w:eastAsia="Times New Roman" w:cs="Times New Roman"/>
          <w:color w:val="000000"/>
          <w:sz w:val="24"/>
          <w:szCs w:val="24"/>
        </w:rPr>
        <w:t xml:space="preserve">) </w:t>
      </w:r>
      <w:r w:rsidR="002F5B77">
        <w:rPr>
          <w:rFonts w:eastAsia="Times New Roman" w:cs="Times New Roman"/>
          <w:color w:val="000000"/>
          <w:sz w:val="24"/>
          <w:szCs w:val="24"/>
        </w:rPr>
        <w:t xml:space="preserve">related to the ways in which individuals and families are supported across the life span to facilitate obtaining their goals.  </w:t>
      </w:r>
    </w:p>
    <w:p w14:paraId="25CCA7CD" w14:textId="48A8DF9D" w:rsidR="00427C82" w:rsidRDefault="00FA5B20" w:rsidP="006B68B3">
      <w:pPr>
        <w:autoSpaceDE w:val="0"/>
        <w:autoSpaceDN w:val="0"/>
        <w:adjustRightInd w:val="0"/>
        <w:spacing w:after="0" w:line="480" w:lineRule="auto"/>
        <w:ind w:firstLine="720"/>
        <w:contextualSpacing/>
        <w:rPr>
          <w:rFonts w:cs="Arial"/>
          <w:iCs/>
          <w:sz w:val="24"/>
          <w:szCs w:val="24"/>
        </w:rPr>
      </w:pPr>
      <w:r>
        <w:rPr>
          <w:rFonts w:cs="Arial"/>
          <w:iCs/>
          <w:sz w:val="24"/>
          <w:szCs w:val="24"/>
        </w:rPr>
        <w:t xml:space="preserve">The implications of the findings across this research strand focus on </w:t>
      </w:r>
      <w:r w:rsidR="0001498B">
        <w:rPr>
          <w:rFonts w:cs="Arial"/>
          <w:iCs/>
          <w:sz w:val="24"/>
          <w:szCs w:val="24"/>
        </w:rPr>
        <w:t xml:space="preserve">suggest that </w:t>
      </w:r>
      <w:r>
        <w:rPr>
          <w:rFonts w:cs="Arial"/>
          <w:iCs/>
          <w:sz w:val="24"/>
          <w:szCs w:val="24"/>
        </w:rPr>
        <w:t xml:space="preserve">systems change is a commitment that </w:t>
      </w:r>
      <w:r w:rsidR="002F5B77">
        <w:rPr>
          <w:rFonts w:cs="Arial"/>
          <w:iCs/>
          <w:sz w:val="24"/>
          <w:szCs w:val="24"/>
        </w:rPr>
        <w:t>requires a long term ded</w:t>
      </w:r>
      <w:r w:rsidR="00361ED2">
        <w:rPr>
          <w:rFonts w:cs="Arial"/>
          <w:iCs/>
          <w:sz w:val="24"/>
          <w:szCs w:val="24"/>
        </w:rPr>
        <w:t>ication to reframing how services are designed to support</w:t>
      </w:r>
      <w:r w:rsidR="002F5B77">
        <w:rPr>
          <w:rFonts w:cs="Arial"/>
          <w:iCs/>
          <w:sz w:val="24"/>
          <w:szCs w:val="24"/>
        </w:rPr>
        <w:t xml:space="preserve"> individuals to obtain their goals. This reframing will require changes not only across the IDD, VR, and E</w:t>
      </w:r>
      <w:r w:rsidR="00361ED2">
        <w:rPr>
          <w:rFonts w:cs="Arial"/>
          <w:iCs/>
          <w:sz w:val="24"/>
          <w:szCs w:val="24"/>
        </w:rPr>
        <w:t xml:space="preserve">D service systems but within community providers and throughout their direct support workforce who are implementing these services. </w:t>
      </w:r>
    </w:p>
    <w:p w14:paraId="5F4F116D" w14:textId="77777777" w:rsidR="00074608" w:rsidRDefault="00074608" w:rsidP="006B68B3">
      <w:pPr>
        <w:autoSpaceDE w:val="0"/>
        <w:autoSpaceDN w:val="0"/>
        <w:adjustRightInd w:val="0"/>
        <w:spacing w:after="0" w:line="480" w:lineRule="auto"/>
        <w:ind w:firstLine="720"/>
        <w:contextualSpacing/>
        <w:rPr>
          <w:rFonts w:cs="Arial"/>
          <w:iCs/>
          <w:sz w:val="24"/>
          <w:szCs w:val="24"/>
        </w:rPr>
      </w:pPr>
    </w:p>
    <w:p w14:paraId="775C5CE2" w14:textId="52FDB04A" w:rsidR="00074608" w:rsidRPr="00B60BC8" w:rsidRDefault="00906320" w:rsidP="00074608">
      <w:pPr>
        <w:autoSpaceDE w:val="0"/>
        <w:autoSpaceDN w:val="0"/>
        <w:adjustRightInd w:val="0"/>
        <w:spacing w:after="0" w:line="480" w:lineRule="auto"/>
        <w:contextualSpacing/>
        <w:rPr>
          <w:rFonts w:cs="Arial"/>
          <w:iCs/>
          <w:sz w:val="24"/>
          <w:szCs w:val="24"/>
          <w:u w:val="single"/>
        </w:rPr>
      </w:pPr>
      <w:r w:rsidRPr="00B60BC8">
        <w:rPr>
          <w:rFonts w:cs="Arial"/>
          <w:iCs/>
          <w:sz w:val="24"/>
          <w:szCs w:val="24"/>
          <w:u w:val="single"/>
        </w:rPr>
        <w:t xml:space="preserve">References </w:t>
      </w:r>
    </w:p>
    <w:p w14:paraId="2D0B9FA9" w14:textId="50CECA9C" w:rsidR="00D17026" w:rsidRDefault="00D17026" w:rsidP="00825ABF">
      <w:pPr>
        <w:autoSpaceDE w:val="0"/>
        <w:autoSpaceDN w:val="0"/>
        <w:adjustRightInd w:val="0"/>
        <w:spacing w:after="0" w:line="480" w:lineRule="auto"/>
        <w:ind w:left="720" w:hanging="720"/>
        <w:rPr>
          <w:rFonts w:cs="Times New Roman"/>
          <w:sz w:val="24"/>
          <w:szCs w:val="24"/>
        </w:rPr>
      </w:pPr>
      <w:r w:rsidRPr="003076DF">
        <w:rPr>
          <w:rFonts w:cs="Times New Roman"/>
          <w:sz w:val="24"/>
          <w:szCs w:val="24"/>
        </w:rPr>
        <w:t xml:space="preserve"> </w:t>
      </w:r>
      <w:r w:rsidR="00906320">
        <w:rPr>
          <w:rFonts w:cs="Times New Roman"/>
          <w:sz w:val="24"/>
          <w:szCs w:val="24"/>
        </w:rPr>
        <w:t xml:space="preserve">APSE </w:t>
      </w:r>
      <w:r w:rsidR="00242871">
        <w:rPr>
          <w:rFonts w:cs="Times New Roman"/>
          <w:sz w:val="24"/>
          <w:szCs w:val="24"/>
        </w:rPr>
        <w:t>(</w:t>
      </w:r>
      <w:r w:rsidR="00906320">
        <w:rPr>
          <w:rFonts w:cs="Times New Roman"/>
          <w:sz w:val="24"/>
          <w:szCs w:val="24"/>
        </w:rPr>
        <w:t>2010</w:t>
      </w:r>
      <w:r w:rsidR="00242871">
        <w:rPr>
          <w:rFonts w:cs="Times New Roman"/>
          <w:sz w:val="24"/>
          <w:szCs w:val="24"/>
        </w:rPr>
        <w:t xml:space="preserve">). APSE Employment First Statement. Accessed at: </w:t>
      </w:r>
      <w:hyperlink r:id="rId17" w:history="1">
        <w:r w:rsidR="00825ABF" w:rsidRPr="009B6521">
          <w:rPr>
            <w:rStyle w:val="Hyperlink"/>
            <w:rFonts w:cs="Times New Roman"/>
            <w:sz w:val="24"/>
            <w:szCs w:val="24"/>
          </w:rPr>
          <w:t>http://apse.org/employment-</w:t>
        </w:r>
      </w:hyperlink>
      <w:r w:rsidR="00825ABF">
        <w:rPr>
          <w:rFonts w:cs="Times New Roman"/>
          <w:sz w:val="24"/>
          <w:szCs w:val="24"/>
        </w:rPr>
        <w:t xml:space="preserve"> </w:t>
      </w:r>
      <w:r w:rsidR="00242871" w:rsidRPr="00242871">
        <w:rPr>
          <w:rFonts w:cs="Times New Roman"/>
          <w:sz w:val="24"/>
          <w:szCs w:val="24"/>
        </w:rPr>
        <w:t>first/statement/.</w:t>
      </w:r>
    </w:p>
    <w:p w14:paraId="4EFAB0A5" w14:textId="7ED46F55" w:rsidR="00825ABF" w:rsidRPr="00825ABF" w:rsidRDefault="00825ABF" w:rsidP="00825ABF">
      <w:pPr>
        <w:spacing w:line="480" w:lineRule="auto"/>
        <w:ind w:left="720" w:hanging="720"/>
        <w:rPr>
          <w:sz w:val="24"/>
          <w:szCs w:val="24"/>
        </w:rPr>
      </w:pPr>
      <w:r w:rsidRPr="00825ABF">
        <w:rPr>
          <w:sz w:val="24"/>
          <w:szCs w:val="24"/>
        </w:rPr>
        <w:lastRenderedPageBreak/>
        <w:t xml:space="preserve">Butterworth, J., Smith, F. A., Winsor, J., </w:t>
      </w:r>
      <w:proofErr w:type="spellStart"/>
      <w:r w:rsidRPr="00825ABF">
        <w:rPr>
          <w:sz w:val="24"/>
          <w:szCs w:val="24"/>
        </w:rPr>
        <w:t>Ciulla</w:t>
      </w:r>
      <w:proofErr w:type="spellEnd"/>
      <w:r w:rsidRPr="00825ABF">
        <w:rPr>
          <w:sz w:val="24"/>
          <w:szCs w:val="24"/>
        </w:rPr>
        <w:t xml:space="preserve"> Timmons, J., Migliore, A., &amp; Domin, D. (2016). </w:t>
      </w:r>
      <w:proofErr w:type="spellStart"/>
      <w:r w:rsidRPr="00825ABF">
        <w:rPr>
          <w:sz w:val="24"/>
          <w:szCs w:val="24"/>
        </w:rPr>
        <w:t>StateData</w:t>
      </w:r>
      <w:proofErr w:type="spellEnd"/>
      <w:r w:rsidRPr="00825ABF">
        <w:rPr>
          <w:sz w:val="24"/>
          <w:szCs w:val="24"/>
        </w:rPr>
        <w:t>: The national report on employment services and outcomes. Boston, MA: University of Massachusetts Boston, Institute for Community Inclusion.</w:t>
      </w:r>
    </w:p>
    <w:p w14:paraId="0112B207" w14:textId="097677D7" w:rsidR="00242871" w:rsidRPr="00825ABF" w:rsidRDefault="00242871" w:rsidP="00825ABF">
      <w:pPr>
        <w:spacing w:line="480" w:lineRule="auto"/>
        <w:ind w:left="720" w:hanging="720"/>
        <w:rPr>
          <w:sz w:val="24"/>
          <w:szCs w:val="24"/>
        </w:rPr>
      </w:pPr>
      <w:r w:rsidRPr="00825ABF">
        <w:rPr>
          <w:sz w:val="24"/>
          <w:szCs w:val="24"/>
        </w:rPr>
        <w:t xml:space="preserve">CMS (2017). Centers for Medicaid and Medicare. </w:t>
      </w:r>
      <w:r w:rsidR="00825ABF" w:rsidRPr="00825ABF">
        <w:rPr>
          <w:sz w:val="24"/>
          <w:szCs w:val="24"/>
        </w:rPr>
        <w:t>: Extension of Transition Period for Compliance with Home and Community</w:t>
      </w:r>
      <w:r w:rsidR="00825ABF" w:rsidRPr="00825ABF">
        <w:rPr>
          <w:sz w:val="24"/>
          <w:szCs w:val="24"/>
        </w:rPr>
        <w:t xml:space="preserve"> </w:t>
      </w:r>
      <w:r w:rsidR="00825ABF" w:rsidRPr="00825ABF">
        <w:rPr>
          <w:sz w:val="24"/>
          <w:szCs w:val="24"/>
        </w:rPr>
        <w:t>Based Settings Criteria</w:t>
      </w:r>
      <w:r w:rsidR="00825ABF" w:rsidRPr="00825ABF">
        <w:rPr>
          <w:sz w:val="24"/>
          <w:szCs w:val="24"/>
        </w:rPr>
        <w:t>. Accessed at:</w:t>
      </w:r>
      <w:r w:rsidR="00825ABF" w:rsidRPr="00825ABF">
        <w:rPr>
          <w:sz w:val="24"/>
          <w:szCs w:val="24"/>
        </w:rPr>
        <w:t xml:space="preserve"> </w:t>
      </w:r>
      <w:hyperlink r:id="rId18" w:history="1">
        <w:r w:rsidR="00825ABF" w:rsidRPr="00825ABF">
          <w:rPr>
            <w:rStyle w:val="Hyperlink"/>
            <w:sz w:val="24"/>
            <w:szCs w:val="24"/>
          </w:rPr>
          <w:t>https://www.medicaid.gov/federal-policy-guidance/downloads/cib050917.pdf</w:t>
        </w:r>
      </w:hyperlink>
      <w:r w:rsidR="00825ABF" w:rsidRPr="00825ABF">
        <w:rPr>
          <w:sz w:val="24"/>
          <w:szCs w:val="24"/>
        </w:rPr>
        <w:t>.</w:t>
      </w:r>
    </w:p>
    <w:p w14:paraId="3DC880F5" w14:textId="17CD624D" w:rsidR="00DD13BE" w:rsidRPr="00242871" w:rsidRDefault="00DD13BE" w:rsidP="00825ABF">
      <w:pPr>
        <w:spacing w:line="480" w:lineRule="auto"/>
        <w:ind w:left="720" w:hanging="720"/>
        <w:rPr>
          <w:sz w:val="24"/>
          <w:szCs w:val="24"/>
        </w:rPr>
      </w:pPr>
      <w:r w:rsidRPr="00242871">
        <w:rPr>
          <w:sz w:val="24"/>
          <w:szCs w:val="24"/>
        </w:rPr>
        <w:t>Domin,</w:t>
      </w:r>
      <w:r w:rsidR="00242871" w:rsidRPr="00242871">
        <w:rPr>
          <w:sz w:val="24"/>
          <w:szCs w:val="24"/>
        </w:rPr>
        <w:t xml:space="preserve"> </w:t>
      </w:r>
      <w:r w:rsidRPr="00242871">
        <w:rPr>
          <w:sz w:val="24"/>
          <w:szCs w:val="24"/>
        </w:rPr>
        <w:t>D.,</w:t>
      </w:r>
      <w:r w:rsidR="00242871" w:rsidRPr="00242871">
        <w:rPr>
          <w:sz w:val="24"/>
          <w:szCs w:val="24"/>
        </w:rPr>
        <w:t xml:space="preserve"> </w:t>
      </w:r>
      <w:r w:rsidRPr="00242871">
        <w:rPr>
          <w:sz w:val="24"/>
          <w:szCs w:val="24"/>
        </w:rPr>
        <w:t>&amp; Butterworth,</w:t>
      </w:r>
      <w:r w:rsidR="00242871" w:rsidRPr="00242871">
        <w:rPr>
          <w:sz w:val="24"/>
          <w:szCs w:val="24"/>
        </w:rPr>
        <w:t xml:space="preserve"> </w:t>
      </w:r>
      <w:r w:rsidRPr="00242871">
        <w:rPr>
          <w:sz w:val="24"/>
          <w:szCs w:val="24"/>
        </w:rPr>
        <w:t>J.</w:t>
      </w:r>
      <w:r w:rsidRPr="00242871">
        <w:rPr>
          <w:sz w:val="24"/>
          <w:szCs w:val="24"/>
        </w:rPr>
        <w:t xml:space="preserve"> </w:t>
      </w:r>
      <w:r w:rsidRPr="00242871">
        <w:rPr>
          <w:sz w:val="24"/>
          <w:szCs w:val="24"/>
        </w:rPr>
        <w:t>(2012). The 2010-2011 national survey of community rehabilitation providers. Overview of services, trends and provider characteristics.</w:t>
      </w:r>
      <w:r w:rsidRPr="00242871">
        <w:rPr>
          <w:sz w:val="24"/>
          <w:szCs w:val="24"/>
        </w:rPr>
        <w:t xml:space="preserve"> </w:t>
      </w:r>
      <w:r w:rsidRPr="00242871">
        <w:rPr>
          <w:sz w:val="24"/>
          <w:szCs w:val="24"/>
        </w:rPr>
        <w:t>Research to Practice Brief, Issue No. 52.Boston,</w:t>
      </w:r>
      <w:r w:rsidR="00242871">
        <w:rPr>
          <w:sz w:val="24"/>
          <w:szCs w:val="24"/>
        </w:rPr>
        <w:t xml:space="preserve"> </w:t>
      </w:r>
      <w:r w:rsidRPr="00242871">
        <w:rPr>
          <w:sz w:val="24"/>
          <w:szCs w:val="24"/>
        </w:rPr>
        <w:t>MA: University of Massachusetts Boston, Institute for Community Inclusion.</w:t>
      </w:r>
    </w:p>
    <w:p w14:paraId="1D9F30A6" w14:textId="25B221D4" w:rsidR="00DD13BE" w:rsidRPr="00242871" w:rsidRDefault="00DD13BE" w:rsidP="00825ABF">
      <w:pPr>
        <w:spacing w:line="480" w:lineRule="auto"/>
        <w:ind w:left="720" w:hanging="720"/>
        <w:rPr>
          <w:rFonts w:cs="Times New Roman"/>
          <w:sz w:val="24"/>
          <w:szCs w:val="24"/>
        </w:rPr>
      </w:pPr>
      <w:proofErr w:type="spellStart"/>
      <w:r w:rsidRPr="00242871">
        <w:rPr>
          <w:sz w:val="24"/>
          <w:szCs w:val="24"/>
        </w:rPr>
        <w:t>Hiersteiner</w:t>
      </w:r>
      <w:proofErr w:type="spellEnd"/>
      <w:r w:rsidRPr="00242871">
        <w:rPr>
          <w:sz w:val="24"/>
          <w:szCs w:val="24"/>
        </w:rPr>
        <w:t xml:space="preserve">, D., </w:t>
      </w:r>
      <w:proofErr w:type="spellStart"/>
      <w:r w:rsidRPr="00242871">
        <w:rPr>
          <w:sz w:val="24"/>
          <w:szCs w:val="24"/>
        </w:rPr>
        <w:t>Bershadsky</w:t>
      </w:r>
      <w:proofErr w:type="spellEnd"/>
      <w:r w:rsidRPr="00242871">
        <w:rPr>
          <w:sz w:val="24"/>
          <w:szCs w:val="24"/>
        </w:rPr>
        <w:t xml:space="preserve">, J., </w:t>
      </w:r>
      <w:proofErr w:type="spellStart"/>
      <w:r w:rsidRPr="00242871">
        <w:rPr>
          <w:sz w:val="24"/>
          <w:szCs w:val="24"/>
        </w:rPr>
        <w:t>Bonardi</w:t>
      </w:r>
      <w:proofErr w:type="spellEnd"/>
      <w:r w:rsidRPr="00242871">
        <w:rPr>
          <w:sz w:val="24"/>
          <w:szCs w:val="24"/>
        </w:rPr>
        <w:t>, A., &amp; Butterworth, J. (2016). Working in the community: The status and outcomes of people with intellectual and developmental disabilities in integrated employment--Update 2. NCI Data Brief, April 2016. Cambridge, MA: Human Services Research Institute.</w:t>
      </w:r>
    </w:p>
    <w:p w14:paraId="6693DA42" w14:textId="593E177E" w:rsidR="00906320" w:rsidRDefault="00906320" w:rsidP="003607DB">
      <w:pPr>
        <w:spacing w:line="480" w:lineRule="auto"/>
        <w:ind w:left="720" w:hanging="720"/>
        <w:rPr>
          <w:rFonts w:cs="Times New Roman"/>
          <w:sz w:val="24"/>
          <w:szCs w:val="24"/>
        </w:rPr>
      </w:pPr>
      <w:r>
        <w:rPr>
          <w:rFonts w:cs="Times New Roman"/>
          <w:sz w:val="24"/>
          <w:szCs w:val="24"/>
        </w:rPr>
        <w:t>Hoff</w:t>
      </w:r>
      <w:r w:rsidR="00825ABF">
        <w:rPr>
          <w:rFonts w:cs="Times New Roman"/>
          <w:sz w:val="24"/>
          <w:szCs w:val="24"/>
        </w:rPr>
        <w:t>, D. (</w:t>
      </w:r>
      <w:r>
        <w:rPr>
          <w:rFonts w:cs="Times New Roman"/>
          <w:sz w:val="24"/>
          <w:szCs w:val="24"/>
        </w:rPr>
        <w:t>2016</w:t>
      </w:r>
      <w:r w:rsidR="00825ABF">
        <w:rPr>
          <w:rFonts w:cs="Times New Roman"/>
          <w:sz w:val="24"/>
          <w:szCs w:val="24"/>
        </w:rPr>
        <w:t xml:space="preserve">). </w:t>
      </w:r>
      <w:r w:rsidR="003607DB">
        <w:rPr>
          <w:rFonts w:cs="Times New Roman"/>
          <w:sz w:val="24"/>
          <w:szCs w:val="24"/>
        </w:rPr>
        <w:t xml:space="preserve">Public policy to practice: Making a Difference in Employment. Accessed at: </w:t>
      </w:r>
      <w:r w:rsidR="003607DB" w:rsidRPr="003607DB">
        <w:rPr>
          <w:rFonts w:cs="Times New Roman"/>
          <w:sz w:val="24"/>
          <w:szCs w:val="24"/>
        </w:rPr>
        <w:t>http://employmentfirstma.org/conference/files/03_-_Public_Policy_to_Practice_Slides.pdf</w:t>
      </w:r>
      <w:r w:rsidR="003607DB">
        <w:rPr>
          <w:rFonts w:cs="Times New Roman"/>
          <w:sz w:val="24"/>
          <w:szCs w:val="24"/>
        </w:rPr>
        <w:t>.</w:t>
      </w:r>
    </w:p>
    <w:p w14:paraId="55A0AA38" w14:textId="55F0944F" w:rsidR="00B60BC8" w:rsidRDefault="00B60BC8" w:rsidP="00825ABF">
      <w:pPr>
        <w:spacing w:line="480" w:lineRule="auto"/>
        <w:ind w:left="720" w:hanging="720"/>
      </w:pPr>
      <w:r w:rsidRPr="007348FE">
        <w:rPr>
          <w:rFonts w:cs="Times New Roman"/>
          <w:sz w:val="24"/>
          <w:szCs w:val="24"/>
        </w:rPr>
        <w:t>HCBS Advocacy Coalition</w:t>
      </w:r>
      <w:r w:rsidR="00825ABF">
        <w:rPr>
          <w:rFonts w:cs="Times New Roman"/>
          <w:sz w:val="24"/>
          <w:szCs w:val="24"/>
        </w:rPr>
        <w:t xml:space="preserve"> (</w:t>
      </w:r>
      <w:r w:rsidRPr="007348FE">
        <w:rPr>
          <w:rFonts w:cs="Times New Roman"/>
          <w:sz w:val="24"/>
          <w:szCs w:val="24"/>
        </w:rPr>
        <w:t>2015).</w:t>
      </w:r>
      <w:r w:rsidR="00825ABF">
        <w:rPr>
          <w:rFonts w:cs="Times New Roman"/>
          <w:sz w:val="24"/>
          <w:szCs w:val="24"/>
        </w:rPr>
        <w:t xml:space="preserve"> </w:t>
      </w:r>
      <w:r w:rsidR="00825ABF">
        <w:t>The Medicaid Home and Community Based Services Settings Rules: What You Should Know!</w:t>
      </w:r>
      <w:r w:rsidR="00825ABF">
        <w:t xml:space="preserve"> Access at: </w:t>
      </w:r>
      <w:hyperlink r:id="rId19" w:history="1">
        <w:r w:rsidR="00825ABF" w:rsidRPr="009B6521">
          <w:rPr>
            <w:rStyle w:val="Hyperlink"/>
          </w:rPr>
          <w:t>http://www.aucd.org/docs/policy/HCBS/HCBS%20Settings%20Rules_What%20You%20Should%20Know!%20Final%201%2022%202016.pdf</w:t>
        </w:r>
      </w:hyperlink>
    </w:p>
    <w:p w14:paraId="2E080647" w14:textId="77777777" w:rsidR="00825ABF" w:rsidRPr="003607DB" w:rsidRDefault="00825ABF" w:rsidP="003607DB">
      <w:pPr>
        <w:spacing w:line="480" w:lineRule="auto"/>
        <w:ind w:left="720" w:hanging="720"/>
        <w:rPr>
          <w:rFonts w:cs="Times New Roman"/>
          <w:sz w:val="24"/>
          <w:szCs w:val="24"/>
        </w:rPr>
      </w:pPr>
    </w:p>
    <w:p w14:paraId="2FFF977F" w14:textId="4736B342" w:rsidR="003607DB" w:rsidRPr="003607DB" w:rsidRDefault="003607DB" w:rsidP="003607DB">
      <w:pPr>
        <w:spacing w:after="0" w:line="480" w:lineRule="auto"/>
        <w:ind w:left="720" w:hanging="720"/>
        <w:rPr>
          <w:rFonts w:eastAsiaTheme="minorEastAsia" w:cstheme="minorHAnsi"/>
          <w:i/>
          <w:sz w:val="24"/>
          <w:szCs w:val="24"/>
        </w:rPr>
      </w:pPr>
      <w:r w:rsidRPr="003607DB">
        <w:t xml:space="preserve">NASDDDS (2016). </w:t>
      </w:r>
      <w:r w:rsidRPr="003607DB">
        <w:rPr>
          <w:rFonts w:eastAsiaTheme="minorEastAsia" w:cstheme="minorHAnsi"/>
          <w:i/>
          <w:sz w:val="24"/>
          <w:szCs w:val="24"/>
        </w:rPr>
        <w:t>Support Coordination-Strategies that Impact Employment Outcomes and Services for Individuals Served by State Intellectual/Developmental Disabilities (I/DD) Agencies</w:t>
      </w:r>
      <w:r>
        <w:rPr>
          <w:rFonts w:eastAsiaTheme="minorEastAsia" w:cstheme="minorHAnsi"/>
          <w:i/>
          <w:sz w:val="24"/>
          <w:szCs w:val="24"/>
        </w:rPr>
        <w:t xml:space="preserve">. </w:t>
      </w:r>
    </w:p>
    <w:p w14:paraId="7B63BC99" w14:textId="77777777" w:rsidR="003607DB" w:rsidRPr="00292011" w:rsidRDefault="003607DB" w:rsidP="003607DB">
      <w:pPr>
        <w:autoSpaceDE w:val="0"/>
        <w:autoSpaceDN w:val="0"/>
        <w:adjustRightInd w:val="0"/>
        <w:spacing w:after="0" w:line="240" w:lineRule="auto"/>
        <w:rPr>
          <w:rFonts w:cstheme="minorHAnsi"/>
          <w:b/>
          <w:iCs/>
          <w:sz w:val="24"/>
          <w:szCs w:val="24"/>
        </w:rPr>
      </w:pPr>
    </w:p>
    <w:p w14:paraId="5F9C430B" w14:textId="61E8B5AD" w:rsidR="00825ABF" w:rsidRPr="00A818DA" w:rsidRDefault="00825ABF" w:rsidP="003607DB">
      <w:pPr>
        <w:spacing w:after="240" w:line="480" w:lineRule="auto"/>
        <w:ind w:left="720" w:hanging="720"/>
        <w:rPr>
          <w:rFonts w:eastAsia="Times New Roman"/>
          <w:b/>
          <w:bCs/>
          <w:color w:val="333333"/>
          <w:sz w:val="24"/>
          <w:szCs w:val="24"/>
        </w:rPr>
      </w:pPr>
      <w:r w:rsidRPr="003607DB">
        <w:rPr>
          <w:rFonts w:eastAsia="Times New Roman"/>
          <w:color w:val="000000"/>
          <w:sz w:val="24"/>
          <w:szCs w:val="24"/>
        </w:rPr>
        <w:t xml:space="preserve">Nord, D. </w:t>
      </w:r>
      <w:proofErr w:type="spellStart"/>
      <w:r w:rsidRPr="003607DB">
        <w:rPr>
          <w:rFonts w:eastAsia="Times New Roman"/>
          <w:color w:val="000000"/>
          <w:sz w:val="24"/>
          <w:szCs w:val="24"/>
        </w:rPr>
        <w:t>Barkoff</w:t>
      </w:r>
      <w:proofErr w:type="spellEnd"/>
      <w:r w:rsidRPr="003607DB">
        <w:rPr>
          <w:rFonts w:eastAsia="Times New Roman"/>
          <w:color w:val="000000"/>
          <w:sz w:val="24"/>
          <w:szCs w:val="24"/>
        </w:rPr>
        <w:t xml:space="preserve">, A., Butterworth, J., Carlson, D. </w:t>
      </w:r>
      <w:proofErr w:type="spellStart"/>
      <w:r w:rsidRPr="003607DB">
        <w:rPr>
          <w:rFonts w:eastAsia="Times New Roman"/>
          <w:color w:val="000000"/>
          <w:sz w:val="24"/>
          <w:szCs w:val="24"/>
        </w:rPr>
        <w:t>Cimera</w:t>
      </w:r>
      <w:proofErr w:type="spellEnd"/>
      <w:r w:rsidRPr="003607DB">
        <w:rPr>
          <w:rFonts w:eastAsia="Times New Roman"/>
          <w:color w:val="000000"/>
          <w:sz w:val="24"/>
          <w:szCs w:val="24"/>
        </w:rPr>
        <w:t xml:space="preserve">, R. Fabian, E., </w:t>
      </w:r>
      <w:proofErr w:type="spellStart"/>
      <w:r w:rsidRPr="003607DB">
        <w:rPr>
          <w:rFonts w:eastAsia="Times New Roman"/>
          <w:color w:val="000000"/>
          <w:sz w:val="24"/>
          <w:szCs w:val="24"/>
        </w:rPr>
        <w:t>Grossi</w:t>
      </w:r>
      <w:proofErr w:type="spellEnd"/>
      <w:r w:rsidRPr="003607DB">
        <w:rPr>
          <w:rFonts w:eastAsia="Times New Roman"/>
          <w:color w:val="000000"/>
          <w:sz w:val="24"/>
          <w:szCs w:val="24"/>
        </w:rPr>
        <w:t xml:space="preserve">, T. Hall, A., </w:t>
      </w:r>
      <w:proofErr w:type="spellStart"/>
      <w:r w:rsidRPr="003607DB">
        <w:rPr>
          <w:rFonts w:eastAsia="Times New Roman"/>
          <w:color w:val="000000"/>
          <w:sz w:val="24"/>
          <w:szCs w:val="24"/>
        </w:rPr>
        <w:t>Lucus</w:t>
      </w:r>
      <w:proofErr w:type="spellEnd"/>
      <w:r w:rsidRPr="003607DB">
        <w:rPr>
          <w:rFonts w:eastAsia="Times New Roman"/>
          <w:color w:val="000000"/>
          <w:sz w:val="24"/>
          <w:szCs w:val="24"/>
        </w:rPr>
        <w:t xml:space="preserve">, J., Nye-Lengerman, K., Strobel Gower, W., Tyree, M., Von Schrader, S., &amp; </w:t>
      </w:r>
      <w:proofErr w:type="spellStart"/>
      <w:r w:rsidRPr="003607DB">
        <w:rPr>
          <w:rFonts w:eastAsia="Times New Roman"/>
          <w:color w:val="000000"/>
          <w:sz w:val="24"/>
          <w:szCs w:val="24"/>
        </w:rPr>
        <w:t>Wohl</w:t>
      </w:r>
      <w:proofErr w:type="spellEnd"/>
      <w:r w:rsidRPr="003607DB">
        <w:rPr>
          <w:rFonts w:eastAsia="Times New Roman"/>
          <w:color w:val="000000"/>
          <w:sz w:val="24"/>
          <w:szCs w:val="24"/>
        </w:rPr>
        <w:t xml:space="preserve">, A. </w:t>
      </w:r>
      <w:r w:rsidRPr="00A818DA">
        <w:rPr>
          <w:rFonts w:eastAsia="Times New Roman"/>
          <w:color w:val="000000"/>
          <w:sz w:val="24"/>
          <w:szCs w:val="24"/>
        </w:rPr>
        <w:t xml:space="preserve">(2015). </w:t>
      </w:r>
      <w:r w:rsidRPr="00A818DA">
        <w:rPr>
          <w:rFonts w:eastAsia="Times New Roman"/>
          <w:bCs/>
          <w:color w:val="333333"/>
          <w:sz w:val="24"/>
          <w:szCs w:val="24"/>
        </w:rPr>
        <w:t xml:space="preserve">Employment and economic self-sufficiency: 2015 National Goals for Research, Policy, and Practice. </w:t>
      </w:r>
      <w:r w:rsidRPr="00A818DA">
        <w:rPr>
          <w:rFonts w:eastAsia="Times New Roman"/>
          <w:bCs/>
          <w:i/>
          <w:color w:val="333333"/>
          <w:sz w:val="24"/>
          <w:szCs w:val="24"/>
        </w:rPr>
        <w:t>Inclusion, 3</w:t>
      </w:r>
      <w:r w:rsidRPr="00A818DA">
        <w:rPr>
          <w:rFonts w:eastAsia="Times New Roman"/>
          <w:bCs/>
          <w:color w:val="333333"/>
          <w:sz w:val="24"/>
          <w:szCs w:val="24"/>
        </w:rPr>
        <w:t>(4) 227-232.</w:t>
      </w:r>
    </w:p>
    <w:p w14:paraId="63FF5C96" w14:textId="485019AC" w:rsidR="00242871" w:rsidRPr="00A818DA" w:rsidRDefault="00242871" w:rsidP="003607DB">
      <w:pPr>
        <w:spacing w:line="480" w:lineRule="auto"/>
        <w:ind w:left="720" w:hanging="720"/>
        <w:rPr>
          <w:sz w:val="24"/>
          <w:szCs w:val="24"/>
        </w:rPr>
      </w:pPr>
      <w:r w:rsidRPr="00A818DA">
        <w:rPr>
          <w:sz w:val="24"/>
          <w:szCs w:val="24"/>
        </w:rPr>
        <w:t xml:space="preserve">Nye-Lengerman, K., </w:t>
      </w:r>
      <w:proofErr w:type="spellStart"/>
      <w:r w:rsidRPr="00A818DA">
        <w:rPr>
          <w:sz w:val="24"/>
          <w:szCs w:val="24"/>
        </w:rPr>
        <w:t>Pettingell</w:t>
      </w:r>
      <w:proofErr w:type="spellEnd"/>
      <w:r w:rsidRPr="00A818DA">
        <w:rPr>
          <w:sz w:val="24"/>
          <w:szCs w:val="24"/>
        </w:rPr>
        <w:t>, S., Nord, D., &amp; Hewitt, A. (Under review). Utilization of employment services by people with IDD: An analysis of National Core Indicator data</w:t>
      </w:r>
      <w:r w:rsidRPr="00A818DA">
        <w:rPr>
          <w:i/>
          <w:sz w:val="24"/>
          <w:szCs w:val="24"/>
        </w:rPr>
        <w:t xml:space="preserve">. </w:t>
      </w:r>
      <w:r w:rsidR="00A818DA" w:rsidRPr="00A818DA">
        <w:rPr>
          <w:i/>
          <w:sz w:val="24"/>
          <w:szCs w:val="24"/>
        </w:rPr>
        <w:t>Research in</w:t>
      </w:r>
      <w:r w:rsidRPr="00A818DA">
        <w:rPr>
          <w:i/>
          <w:sz w:val="24"/>
          <w:szCs w:val="24"/>
        </w:rPr>
        <w:t xml:space="preserve"> Developmental Disabilities.</w:t>
      </w:r>
      <w:r w:rsidRPr="00A818DA">
        <w:rPr>
          <w:sz w:val="24"/>
          <w:szCs w:val="24"/>
        </w:rPr>
        <w:t xml:space="preserve"> </w:t>
      </w:r>
    </w:p>
    <w:p w14:paraId="56CD9B5A" w14:textId="0F3855EC" w:rsidR="00242871" w:rsidRPr="00A818DA" w:rsidRDefault="00242871" w:rsidP="00A818DA">
      <w:pPr>
        <w:spacing w:line="480" w:lineRule="auto"/>
        <w:ind w:left="720" w:hanging="720"/>
        <w:rPr>
          <w:sz w:val="24"/>
          <w:szCs w:val="24"/>
        </w:rPr>
      </w:pPr>
      <w:proofErr w:type="spellStart"/>
      <w:r w:rsidRPr="00A818DA">
        <w:rPr>
          <w:sz w:val="24"/>
          <w:szCs w:val="24"/>
        </w:rPr>
        <w:t>Pettingell</w:t>
      </w:r>
      <w:proofErr w:type="spellEnd"/>
      <w:r w:rsidRPr="00A818DA">
        <w:rPr>
          <w:sz w:val="24"/>
          <w:szCs w:val="24"/>
        </w:rPr>
        <w:t xml:space="preserve">, S. (2017). Analysis of 2012-2103 National Core Indicator Data – Adult Consumer Survey. </w:t>
      </w:r>
    </w:p>
    <w:p w14:paraId="43194785" w14:textId="2B2A3E2E" w:rsidR="00242871" w:rsidRPr="00242871" w:rsidRDefault="00242871" w:rsidP="003607DB">
      <w:pPr>
        <w:spacing w:line="480" w:lineRule="auto"/>
        <w:ind w:left="720" w:hanging="720"/>
        <w:rPr>
          <w:rFonts w:cs="Times New Roman"/>
          <w:sz w:val="24"/>
          <w:szCs w:val="24"/>
        </w:rPr>
      </w:pPr>
      <w:r w:rsidRPr="00A818DA">
        <w:rPr>
          <w:rFonts w:cs="Times New Roman"/>
          <w:sz w:val="24"/>
          <w:szCs w:val="24"/>
        </w:rPr>
        <w:t xml:space="preserve">SABE </w:t>
      </w:r>
      <w:r w:rsidR="00825ABF" w:rsidRPr="00A818DA">
        <w:rPr>
          <w:rFonts w:cs="Times New Roman"/>
          <w:sz w:val="24"/>
          <w:szCs w:val="24"/>
        </w:rPr>
        <w:t>(</w:t>
      </w:r>
      <w:r w:rsidRPr="00A818DA">
        <w:rPr>
          <w:rFonts w:cs="Times New Roman"/>
          <w:sz w:val="24"/>
          <w:szCs w:val="24"/>
        </w:rPr>
        <w:t>2016</w:t>
      </w:r>
      <w:r w:rsidR="00825ABF" w:rsidRPr="00A818DA">
        <w:rPr>
          <w:rFonts w:cs="Times New Roman"/>
          <w:sz w:val="24"/>
          <w:szCs w:val="24"/>
        </w:rPr>
        <w:t xml:space="preserve">). APSE Employment First Statement, Adapted by Green Mountain Self-Advocates Becoming </w:t>
      </w:r>
      <w:proofErr w:type="spellStart"/>
      <w:r w:rsidR="00825ABF" w:rsidRPr="00A818DA">
        <w:rPr>
          <w:rFonts w:cs="Times New Roman"/>
          <w:sz w:val="24"/>
          <w:szCs w:val="24"/>
        </w:rPr>
        <w:t>Empowerd</w:t>
      </w:r>
      <w:proofErr w:type="spellEnd"/>
      <w:r w:rsidR="00825ABF" w:rsidRPr="00A818DA">
        <w:rPr>
          <w:rFonts w:cs="Times New Roman"/>
          <w:sz w:val="24"/>
          <w:szCs w:val="24"/>
        </w:rPr>
        <w:t>. Accessed at:  https://www.thinkwork.org/sites/thinkwork</w:t>
      </w:r>
      <w:r w:rsidR="00825ABF" w:rsidRPr="00825ABF">
        <w:rPr>
          <w:rFonts w:cs="Times New Roman"/>
          <w:sz w:val="24"/>
          <w:szCs w:val="24"/>
        </w:rPr>
        <w:t>.org/files/files/SABE%20doc_D4.pdf</w:t>
      </w:r>
    </w:p>
    <w:p w14:paraId="775F19B1" w14:textId="77777777" w:rsidR="003607DB" w:rsidRPr="003607DB" w:rsidRDefault="003607DB" w:rsidP="003607DB">
      <w:pPr>
        <w:spacing w:line="480" w:lineRule="auto"/>
        <w:ind w:left="720" w:hanging="720"/>
        <w:rPr>
          <w:sz w:val="24"/>
          <w:szCs w:val="24"/>
        </w:rPr>
      </w:pPr>
      <w:r>
        <w:t xml:space="preserve">U.S. Department of Justice. (2016). Statement of the Department of Justice on application of the </w:t>
      </w:r>
      <w:r w:rsidRPr="003607DB">
        <w:rPr>
          <w:sz w:val="24"/>
          <w:szCs w:val="24"/>
        </w:rPr>
        <w:t xml:space="preserve">integration mandate of Title II of the Americans with Disabilities Act and Olmstead v L.C. to state and local governments’ employment service systems for people with disabilities. </w:t>
      </w:r>
    </w:p>
    <w:p w14:paraId="78BFAFBC" w14:textId="77777777" w:rsidR="003607DB" w:rsidRDefault="003607DB" w:rsidP="003607DB">
      <w:pPr>
        <w:pStyle w:val="Heading3"/>
        <w:shd w:val="clear" w:color="auto" w:fill="FFFFFF"/>
        <w:spacing w:before="0" w:after="300" w:line="480" w:lineRule="auto"/>
        <w:ind w:left="720" w:hanging="720"/>
        <w:rPr>
          <w:rFonts w:asciiTheme="minorHAnsi" w:hAnsiTheme="minorHAnsi" w:cs="Times New Roman"/>
          <w:color w:val="auto"/>
        </w:rPr>
      </w:pPr>
    </w:p>
    <w:p w14:paraId="74D5A49E" w14:textId="4137A817" w:rsidR="00242871" w:rsidRPr="00825ABF" w:rsidRDefault="00242871" w:rsidP="003607DB">
      <w:pPr>
        <w:pStyle w:val="Heading3"/>
        <w:shd w:val="clear" w:color="auto" w:fill="FFFFFF"/>
        <w:spacing w:before="0" w:after="300" w:line="480" w:lineRule="auto"/>
        <w:ind w:left="720" w:hanging="720"/>
        <w:rPr>
          <w:rFonts w:asciiTheme="minorHAnsi" w:hAnsiTheme="minorHAnsi" w:cs="Arial"/>
          <w:color w:val="auto"/>
        </w:rPr>
      </w:pPr>
      <w:r w:rsidRPr="00242871">
        <w:rPr>
          <w:rFonts w:asciiTheme="minorHAnsi" w:hAnsiTheme="minorHAnsi" w:cs="Times New Roman"/>
          <w:color w:val="auto"/>
        </w:rPr>
        <w:t xml:space="preserve">WIOA (2014). Workforce Innovation and Opportunity Act, </w:t>
      </w:r>
      <w:r w:rsidRPr="00242871">
        <w:rPr>
          <w:rFonts w:asciiTheme="minorHAnsi" w:hAnsiTheme="minorHAnsi" w:cs="Arial"/>
          <w:bCs/>
          <w:color w:val="auto"/>
        </w:rPr>
        <w:t>Public Law No: 113-128 (07/22/2014)</w:t>
      </w:r>
      <w:r w:rsidR="00825ABF">
        <w:rPr>
          <w:rFonts w:asciiTheme="minorHAnsi" w:hAnsiTheme="minorHAnsi" w:cs="Arial"/>
          <w:bCs/>
          <w:color w:val="auto"/>
        </w:rPr>
        <w:t>.</w:t>
      </w:r>
    </w:p>
    <w:p w14:paraId="3E1FC618" w14:textId="7466F592" w:rsidR="00242871" w:rsidRPr="003607DB" w:rsidRDefault="00242871" w:rsidP="003607DB">
      <w:pPr>
        <w:spacing w:line="480" w:lineRule="auto"/>
        <w:ind w:left="720" w:hanging="720"/>
        <w:rPr>
          <w:sz w:val="24"/>
          <w:szCs w:val="24"/>
        </w:rPr>
      </w:pPr>
      <w:proofErr w:type="spellStart"/>
      <w:r w:rsidRPr="003607DB">
        <w:rPr>
          <w:sz w:val="24"/>
          <w:szCs w:val="24"/>
        </w:rPr>
        <w:t>Whitenack</w:t>
      </w:r>
      <w:proofErr w:type="spellEnd"/>
      <w:r w:rsidRPr="003607DB">
        <w:rPr>
          <w:sz w:val="24"/>
          <w:szCs w:val="24"/>
        </w:rPr>
        <w:t>, S. B. (</w:t>
      </w:r>
      <w:proofErr w:type="spellStart"/>
      <w:r w:rsidRPr="003607DB">
        <w:rPr>
          <w:sz w:val="24"/>
          <w:szCs w:val="24"/>
        </w:rPr>
        <w:t>n.d.</w:t>
      </w:r>
      <w:proofErr w:type="spellEnd"/>
      <w:r w:rsidRPr="003607DB">
        <w:rPr>
          <w:sz w:val="24"/>
          <w:szCs w:val="24"/>
        </w:rPr>
        <w:t>). Guardianship and developmental disabilities. Retrieve</w:t>
      </w:r>
      <w:r w:rsidR="003607DB" w:rsidRPr="003607DB">
        <w:rPr>
          <w:sz w:val="24"/>
          <w:szCs w:val="24"/>
        </w:rPr>
        <w:t xml:space="preserve">d from </w:t>
      </w:r>
      <w:hyperlink r:id="rId20" w:history="1">
        <w:r w:rsidR="003607DB" w:rsidRPr="009B6521">
          <w:rPr>
            <w:rStyle w:val="Hyperlink"/>
            <w:sz w:val="24"/>
            <w:szCs w:val="24"/>
          </w:rPr>
          <w:t>http://www.specialneeds.com/children-and-parents/autism/guardianship-and</w:t>
        </w:r>
      </w:hyperlink>
      <w:r w:rsidR="003607DB">
        <w:rPr>
          <w:sz w:val="24"/>
          <w:szCs w:val="24"/>
        </w:rPr>
        <w:t xml:space="preserve"> </w:t>
      </w:r>
      <w:r w:rsidRPr="003607DB">
        <w:rPr>
          <w:sz w:val="24"/>
          <w:szCs w:val="24"/>
        </w:rPr>
        <w:t>developmental-disabilities.</w:t>
      </w:r>
    </w:p>
    <w:p w14:paraId="08DC935C" w14:textId="3995F9E0" w:rsidR="00ED267F" w:rsidRPr="003607DB" w:rsidRDefault="00ED267F" w:rsidP="003607DB">
      <w:pPr>
        <w:spacing w:line="480" w:lineRule="auto"/>
        <w:ind w:left="720" w:hanging="720"/>
        <w:rPr>
          <w:rFonts w:cs="Times New Roman"/>
          <w:sz w:val="24"/>
          <w:szCs w:val="24"/>
        </w:rPr>
      </w:pPr>
      <w:r w:rsidRPr="003607DB">
        <w:rPr>
          <w:sz w:val="24"/>
          <w:szCs w:val="24"/>
        </w:rPr>
        <w:t xml:space="preserve">Winsor, J., Timmons, J., Butterworth, J., Shepard, J., Landa, C., Smith, F., Domin, D., Migliore, A., Bose, J., &amp; </w:t>
      </w:r>
      <w:proofErr w:type="spellStart"/>
      <w:r w:rsidRPr="003607DB">
        <w:rPr>
          <w:sz w:val="24"/>
          <w:szCs w:val="24"/>
        </w:rPr>
        <w:t>Landim</w:t>
      </w:r>
      <w:proofErr w:type="spellEnd"/>
      <w:r w:rsidRPr="003607DB">
        <w:rPr>
          <w:sz w:val="24"/>
          <w:szCs w:val="24"/>
        </w:rPr>
        <w:t xml:space="preserve">, L. (2017). </w:t>
      </w:r>
      <w:proofErr w:type="spellStart"/>
      <w:r w:rsidRPr="003607DB">
        <w:rPr>
          <w:sz w:val="24"/>
          <w:szCs w:val="24"/>
        </w:rPr>
        <w:t>StateData</w:t>
      </w:r>
      <w:proofErr w:type="spellEnd"/>
      <w:r w:rsidRPr="003607DB">
        <w:rPr>
          <w:sz w:val="24"/>
          <w:szCs w:val="24"/>
        </w:rPr>
        <w:t>: The national report on employment services and outcomes. Boston, MA: University of Massachusetts Boston, Institute for Community Inclusion.</w:t>
      </w:r>
    </w:p>
    <w:sectPr w:rsidR="00ED267F" w:rsidRPr="003607D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BE3BD" w14:textId="77777777" w:rsidR="0029375F" w:rsidRDefault="0029375F" w:rsidP="00DA1D52">
      <w:pPr>
        <w:spacing w:after="0" w:line="240" w:lineRule="auto"/>
      </w:pPr>
      <w:r>
        <w:separator/>
      </w:r>
    </w:p>
  </w:endnote>
  <w:endnote w:type="continuationSeparator" w:id="0">
    <w:p w14:paraId="436EEC83" w14:textId="77777777" w:rsidR="0029375F" w:rsidRDefault="0029375F" w:rsidP="00DA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TTa399daa3">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A01B3" w14:textId="77777777" w:rsidR="007A0487" w:rsidRDefault="007A0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7B64" w14:textId="77777777" w:rsidR="007A0487" w:rsidRDefault="007A0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4EBA" w14:textId="77777777" w:rsidR="007A0487" w:rsidRDefault="007A04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48201"/>
      <w:docPartObj>
        <w:docPartGallery w:val="Page Numbers (Bottom of Page)"/>
        <w:docPartUnique/>
      </w:docPartObj>
    </w:sdtPr>
    <w:sdtEndPr>
      <w:rPr>
        <w:noProof/>
      </w:rPr>
    </w:sdtEndPr>
    <w:sdtContent>
      <w:p w14:paraId="75F097EB" w14:textId="77777777" w:rsidR="00CD76BF" w:rsidRDefault="00CD76BF">
        <w:pPr>
          <w:pStyle w:val="Footer"/>
          <w:jc w:val="right"/>
        </w:pPr>
        <w:r>
          <w:fldChar w:fldCharType="begin"/>
        </w:r>
        <w:r>
          <w:instrText xml:space="preserve"> PAGE   \* MERGEFORMAT </w:instrText>
        </w:r>
        <w:r>
          <w:fldChar w:fldCharType="separate"/>
        </w:r>
        <w:r w:rsidR="00DD2E9C">
          <w:rPr>
            <w:noProof/>
          </w:rPr>
          <w:t>21</w:t>
        </w:r>
        <w:r>
          <w:rPr>
            <w:noProof/>
          </w:rPr>
          <w:fldChar w:fldCharType="end"/>
        </w:r>
      </w:p>
    </w:sdtContent>
  </w:sdt>
  <w:p w14:paraId="2A010384" w14:textId="77777777" w:rsidR="00CD76BF" w:rsidRDefault="00CD7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E126" w14:textId="77777777" w:rsidR="0029375F" w:rsidRDefault="0029375F" w:rsidP="00DA1D52">
      <w:pPr>
        <w:spacing w:after="0" w:line="240" w:lineRule="auto"/>
      </w:pPr>
      <w:r>
        <w:separator/>
      </w:r>
    </w:p>
  </w:footnote>
  <w:footnote w:type="continuationSeparator" w:id="0">
    <w:p w14:paraId="688A43D6" w14:textId="77777777" w:rsidR="0029375F" w:rsidRDefault="0029375F" w:rsidP="00DA1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A57C6" w14:textId="77777777" w:rsidR="007A0487" w:rsidRDefault="007A0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D1C71" w14:textId="77777777" w:rsidR="00CD76BF" w:rsidRDefault="00CD76BF" w:rsidP="00CD76BF">
    <w:pPr>
      <w:pStyle w:val="Header"/>
      <w:tabs>
        <w:tab w:val="clear" w:pos="4680"/>
      </w:tabs>
    </w:pPr>
    <w:r w:rsidRPr="001F2821">
      <w:rPr>
        <w:i/>
      </w:rPr>
      <w:t>University of Massachusetts Boston</w:t>
    </w:r>
    <w:r>
      <w:tab/>
    </w:r>
    <w:r>
      <w:rPr>
        <w:rStyle w:val="PageNumber"/>
      </w:rPr>
      <w:fldChar w:fldCharType="begin"/>
    </w:r>
    <w:r>
      <w:rPr>
        <w:rStyle w:val="PageNumber"/>
      </w:rPr>
      <w:instrText xml:space="preserve"> PAGE </w:instrText>
    </w:r>
    <w:r>
      <w:rPr>
        <w:rStyle w:val="PageNumber"/>
      </w:rPr>
      <w:fldChar w:fldCharType="separate"/>
    </w:r>
    <w:r w:rsidR="00DD2E9C">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2AA6" w14:textId="420D0953" w:rsidR="007A0487" w:rsidRDefault="007A04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798395"/>
      <w:docPartObj>
        <w:docPartGallery w:val="Watermarks"/>
        <w:docPartUnique/>
      </w:docPartObj>
    </w:sdtPr>
    <w:sdtContent>
      <w:p w14:paraId="60244BF8" w14:textId="2CEC604C" w:rsidR="00CD76BF" w:rsidRDefault="00A818DA">
        <w:pPr>
          <w:pStyle w:val="Header"/>
        </w:pPr>
        <w:r>
          <w:rPr>
            <w:noProof/>
          </w:rPr>
          <w:pict w14:anchorId="21B7E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EA2"/>
    <w:multiLevelType w:val="hybridMultilevel"/>
    <w:tmpl w:val="E6A2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FCB"/>
    <w:multiLevelType w:val="hybridMultilevel"/>
    <w:tmpl w:val="1772F6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418"/>
    <w:multiLevelType w:val="hybridMultilevel"/>
    <w:tmpl w:val="D12E5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72B92"/>
    <w:multiLevelType w:val="hybridMultilevel"/>
    <w:tmpl w:val="506CD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4E5DC9"/>
    <w:multiLevelType w:val="multilevel"/>
    <w:tmpl w:val="7C5E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D36BA"/>
    <w:multiLevelType w:val="hybridMultilevel"/>
    <w:tmpl w:val="99BA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75958"/>
    <w:multiLevelType w:val="multilevel"/>
    <w:tmpl w:val="A5B4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D361C"/>
    <w:multiLevelType w:val="multilevel"/>
    <w:tmpl w:val="3B3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44985"/>
    <w:multiLevelType w:val="hybridMultilevel"/>
    <w:tmpl w:val="941A4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C9B450C"/>
    <w:multiLevelType w:val="hybridMultilevel"/>
    <w:tmpl w:val="2A707782"/>
    <w:lvl w:ilvl="0" w:tplc="58FC4B96">
      <w:start w:val="1"/>
      <w:numFmt w:val="bullet"/>
      <w:lvlText w:val=""/>
      <w:lvlJc w:val="left"/>
      <w:pPr>
        <w:tabs>
          <w:tab w:val="num" w:pos="720"/>
        </w:tabs>
        <w:ind w:left="720" w:hanging="360"/>
      </w:pPr>
      <w:rPr>
        <w:rFonts w:ascii="Wingdings" w:hAnsi="Wingdings" w:hint="default"/>
      </w:rPr>
    </w:lvl>
    <w:lvl w:ilvl="1" w:tplc="11DEE5CA" w:tentative="1">
      <w:start w:val="1"/>
      <w:numFmt w:val="bullet"/>
      <w:lvlText w:val=""/>
      <w:lvlJc w:val="left"/>
      <w:pPr>
        <w:tabs>
          <w:tab w:val="num" w:pos="1440"/>
        </w:tabs>
        <w:ind w:left="1440" w:hanging="360"/>
      </w:pPr>
      <w:rPr>
        <w:rFonts w:ascii="Wingdings" w:hAnsi="Wingdings" w:hint="default"/>
      </w:rPr>
    </w:lvl>
    <w:lvl w:ilvl="2" w:tplc="FB2C509E" w:tentative="1">
      <w:start w:val="1"/>
      <w:numFmt w:val="bullet"/>
      <w:lvlText w:val=""/>
      <w:lvlJc w:val="left"/>
      <w:pPr>
        <w:tabs>
          <w:tab w:val="num" w:pos="2160"/>
        </w:tabs>
        <w:ind w:left="2160" w:hanging="360"/>
      </w:pPr>
      <w:rPr>
        <w:rFonts w:ascii="Wingdings" w:hAnsi="Wingdings" w:hint="default"/>
      </w:rPr>
    </w:lvl>
    <w:lvl w:ilvl="3" w:tplc="40ECFC74" w:tentative="1">
      <w:start w:val="1"/>
      <w:numFmt w:val="bullet"/>
      <w:lvlText w:val=""/>
      <w:lvlJc w:val="left"/>
      <w:pPr>
        <w:tabs>
          <w:tab w:val="num" w:pos="2880"/>
        </w:tabs>
        <w:ind w:left="2880" w:hanging="360"/>
      </w:pPr>
      <w:rPr>
        <w:rFonts w:ascii="Wingdings" w:hAnsi="Wingdings" w:hint="default"/>
      </w:rPr>
    </w:lvl>
    <w:lvl w:ilvl="4" w:tplc="9DDEFAD0" w:tentative="1">
      <w:start w:val="1"/>
      <w:numFmt w:val="bullet"/>
      <w:lvlText w:val=""/>
      <w:lvlJc w:val="left"/>
      <w:pPr>
        <w:tabs>
          <w:tab w:val="num" w:pos="3600"/>
        </w:tabs>
        <w:ind w:left="3600" w:hanging="360"/>
      </w:pPr>
      <w:rPr>
        <w:rFonts w:ascii="Wingdings" w:hAnsi="Wingdings" w:hint="default"/>
      </w:rPr>
    </w:lvl>
    <w:lvl w:ilvl="5" w:tplc="C4A0ABD0" w:tentative="1">
      <w:start w:val="1"/>
      <w:numFmt w:val="bullet"/>
      <w:lvlText w:val=""/>
      <w:lvlJc w:val="left"/>
      <w:pPr>
        <w:tabs>
          <w:tab w:val="num" w:pos="4320"/>
        </w:tabs>
        <w:ind w:left="4320" w:hanging="360"/>
      </w:pPr>
      <w:rPr>
        <w:rFonts w:ascii="Wingdings" w:hAnsi="Wingdings" w:hint="default"/>
      </w:rPr>
    </w:lvl>
    <w:lvl w:ilvl="6" w:tplc="F65E0400" w:tentative="1">
      <w:start w:val="1"/>
      <w:numFmt w:val="bullet"/>
      <w:lvlText w:val=""/>
      <w:lvlJc w:val="left"/>
      <w:pPr>
        <w:tabs>
          <w:tab w:val="num" w:pos="5040"/>
        </w:tabs>
        <w:ind w:left="5040" w:hanging="360"/>
      </w:pPr>
      <w:rPr>
        <w:rFonts w:ascii="Wingdings" w:hAnsi="Wingdings" w:hint="default"/>
      </w:rPr>
    </w:lvl>
    <w:lvl w:ilvl="7" w:tplc="ED1A8A98" w:tentative="1">
      <w:start w:val="1"/>
      <w:numFmt w:val="bullet"/>
      <w:lvlText w:val=""/>
      <w:lvlJc w:val="left"/>
      <w:pPr>
        <w:tabs>
          <w:tab w:val="num" w:pos="5760"/>
        </w:tabs>
        <w:ind w:left="5760" w:hanging="360"/>
      </w:pPr>
      <w:rPr>
        <w:rFonts w:ascii="Wingdings" w:hAnsi="Wingdings" w:hint="default"/>
      </w:rPr>
    </w:lvl>
    <w:lvl w:ilvl="8" w:tplc="826258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5755C"/>
    <w:multiLevelType w:val="hybridMultilevel"/>
    <w:tmpl w:val="236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11AA8"/>
    <w:multiLevelType w:val="multilevel"/>
    <w:tmpl w:val="C93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1440"/>
          </w:tabs>
          <w:ind w:left="144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1"/>
  </w:num>
  <w:num w:numId="7">
    <w:abstractNumId w:val="8"/>
  </w:num>
  <w:num w:numId="8">
    <w:abstractNumId w:val="5"/>
  </w:num>
  <w:num w:numId="9">
    <w:abstractNumId w:val="2"/>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5C"/>
    <w:rsid w:val="00011B90"/>
    <w:rsid w:val="0001498B"/>
    <w:rsid w:val="00021B81"/>
    <w:rsid w:val="00045653"/>
    <w:rsid w:val="000665FF"/>
    <w:rsid w:val="00074608"/>
    <w:rsid w:val="00087693"/>
    <w:rsid w:val="000924CA"/>
    <w:rsid w:val="00094752"/>
    <w:rsid w:val="00095E05"/>
    <w:rsid w:val="00097605"/>
    <w:rsid w:val="000A7FA3"/>
    <w:rsid w:val="000B77CA"/>
    <w:rsid w:val="000C2534"/>
    <w:rsid w:val="000E4FE8"/>
    <w:rsid w:val="000F4F49"/>
    <w:rsid w:val="000F7B7F"/>
    <w:rsid w:val="00103B30"/>
    <w:rsid w:val="001107C2"/>
    <w:rsid w:val="001243C4"/>
    <w:rsid w:val="00126705"/>
    <w:rsid w:val="00135011"/>
    <w:rsid w:val="0014035B"/>
    <w:rsid w:val="0014236B"/>
    <w:rsid w:val="00146C98"/>
    <w:rsid w:val="00190882"/>
    <w:rsid w:val="001A3E3A"/>
    <w:rsid w:val="001B3632"/>
    <w:rsid w:val="002057A8"/>
    <w:rsid w:val="00214DE9"/>
    <w:rsid w:val="00216077"/>
    <w:rsid w:val="002272F4"/>
    <w:rsid w:val="00234888"/>
    <w:rsid w:val="002404E4"/>
    <w:rsid w:val="00242871"/>
    <w:rsid w:val="0026024A"/>
    <w:rsid w:val="00276EC6"/>
    <w:rsid w:val="0029375F"/>
    <w:rsid w:val="002A45AB"/>
    <w:rsid w:val="002A5B98"/>
    <w:rsid w:val="002B1600"/>
    <w:rsid w:val="002B55C6"/>
    <w:rsid w:val="002D25BA"/>
    <w:rsid w:val="002D3A91"/>
    <w:rsid w:val="002E1A02"/>
    <w:rsid w:val="002F2741"/>
    <w:rsid w:val="002F5B77"/>
    <w:rsid w:val="003076DF"/>
    <w:rsid w:val="0033567D"/>
    <w:rsid w:val="003607DB"/>
    <w:rsid w:val="00361ED2"/>
    <w:rsid w:val="00394A05"/>
    <w:rsid w:val="003B20E7"/>
    <w:rsid w:val="003C6E99"/>
    <w:rsid w:val="003F0B4E"/>
    <w:rsid w:val="003F5F9C"/>
    <w:rsid w:val="00411F52"/>
    <w:rsid w:val="004230CA"/>
    <w:rsid w:val="00423EFB"/>
    <w:rsid w:val="00425C70"/>
    <w:rsid w:val="00425E6C"/>
    <w:rsid w:val="00427C82"/>
    <w:rsid w:val="0043188F"/>
    <w:rsid w:val="0047148B"/>
    <w:rsid w:val="00480D13"/>
    <w:rsid w:val="00490B09"/>
    <w:rsid w:val="00491451"/>
    <w:rsid w:val="004A194E"/>
    <w:rsid w:val="004A4E3E"/>
    <w:rsid w:val="004B7E72"/>
    <w:rsid w:val="004E05B5"/>
    <w:rsid w:val="004F2A11"/>
    <w:rsid w:val="005179BE"/>
    <w:rsid w:val="00522526"/>
    <w:rsid w:val="00536CA3"/>
    <w:rsid w:val="00536D87"/>
    <w:rsid w:val="00554F38"/>
    <w:rsid w:val="00561872"/>
    <w:rsid w:val="0057035C"/>
    <w:rsid w:val="005730A1"/>
    <w:rsid w:val="0057441C"/>
    <w:rsid w:val="00590E5F"/>
    <w:rsid w:val="005A3D92"/>
    <w:rsid w:val="005A4BBA"/>
    <w:rsid w:val="005A7492"/>
    <w:rsid w:val="005F7D93"/>
    <w:rsid w:val="00605FAE"/>
    <w:rsid w:val="0062117E"/>
    <w:rsid w:val="00666A9B"/>
    <w:rsid w:val="00673218"/>
    <w:rsid w:val="0068562A"/>
    <w:rsid w:val="006B68B3"/>
    <w:rsid w:val="006E17D5"/>
    <w:rsid w:val="00700904"/>
    <w:rsid w:val="00700BE8"/>
    <w:rsid w:val="0071731A"/>
    <w:rsid w:val="00717647"/>
    <w:rsid w:val="007348FE"/>
    <w:rsid w:val="00740C42"/>
    <w:rsid w:val="00750488"/>
    <w:rsid w:val="00755FA7"/>
    <w:rsid w:val="007632DE"/>
    <w:rsid w:val="007642A8"/>
    <w:rsid w:val="007A0487"/>
    <w:rsid w:val="007D213D"/>
    <w:rsid w:val="007D5A64"/>
    <w:rsid w:val="007D7E25"/>
    <w:rsid w:val="007E7F84"/>
    <w:rsid w:val="007F6D3A"/>
    <w:rsid w:val="00806007"/>
    <w:rsid w:val="00824F66"/>
    <w:rsid w:val="00825ABF"/>
    <w:rsid w:val="00837323"/>
    <w:rsid w:val="00837885"/>
    <w:rsid w:val="008521F3"/>
    <w:rsid w:val="008871C7"/>
    <w:rsid w:val="008A30E7"/>
    <w:rsid w:val="008A4939"/>
    <w:rsid w:val="008B19BA"/>
    <w:rsid w:val="008D7793"/>
    <w:rsid w:val="008E4ED8"/>
    <w:rsid w:val="008E6A5F"/>
    <w:rsid w:val="008F375B"/>
    <w:rsid w:val="009027A8"/>
    <w:rsid w:val="00906320"/>
    <w:rsid w:val="00947421"/>
    <w:rsid w:val="00990615"/>
    <w:rsid w:val="009907D8"/>
    <w:rsid w:val="00991D77"/>
    <w:rsid w:val="009D7593"/>
    <w:rsid w:val="009E21F5"/>
    <w:rsid w:val="009F3A08"/>
    <w:rsid w:val="00A04D02"/>
    <w:rsid w:val="00A32113"/>
    <w:rsid w:val="00A452FD"/>
    <w:rsid w:val="00A607C7"/>
    <w:rsid w:val="00A64B39"/>
    <w:rsid w:val="00A709A1"/>
    <w:rsid w:val="00A7476D"/>
    <w:rsid w:val="00A818DA"/>
    <w:rsid w:val="00A839A5"/>
    <w:rsid w:val="00A94988"/>
    <w:rsid w:val="00AA1341"/>
    <w:rsid w:val="00AB50DB"/>
    <w:rsid w:val="00AD25E6"/>
    <w:rsid w:val="00AE07CD"/>
    <w:rsid w:val="00AE538C"/>
    <w:rsid w:val="00AF46A4"/>
    <w:rsid w:val="00AF7B29"/>
    <w:rsid w:val="00B11987"/>
    <w:rsid w:val="00B11F0E"/>
    <w:rsid w:val="00B1432A"/>
    <w:rsid w:val="00B30477"/>
    <w:rsid w:val="00B3317B"/>
    <w:rsid w:val="00B5100B"/>
    <w:rsid w:val="00B53A31"/>
    <w:rsid w:val="00B60BC8"/>
    <w:rsid w:val="00B85C26"/>
    <w:rsid w:val="00B9617D"/>
    <w:rsid w:val="00BC5D14"/>
    <w:rsid w:val="00BD0DC3"/>
    <w:rsid w:val="00BF4E40"/>
    <w:rsid w:val="00C0256D"/>
    <w:rsid w:val="00C11C78"/>
    <w:rsid w:val="00C1419C"/>
    <w:rsid w:val="00C221FE"/>
    <w:rsid w:val="00C227F3"/>
    <w:rsid w:val="00C510D2"/>
    <w:rsid w:val="00C6134C"/>
    <w:rsid w:val="00C618E1"/>
    <w:rsid w:val="00CA0CAB"/>
    <w:rsid w:val="00CA4F5D"/>
    <w:rsid w:val="00CA6D73"/>
    <w:rsid w:val="00CB6921"/>
    <w:rsid w:val="00CC1F13"/>
    <w:rsid w:val="00CC6C7D"/>
    <w:rsid w:val="00CD76BF"/>
    <w:rsid w:val="00CE2542"/>
    <w:rsid w:val="00CE4A33"/>
    <w:rsid w:val="00CE7862"/>
    <w:rsid w:val="00D0209B"/>
    <w:rsid w:val="00D05D7F"/>
    <w:rsid w:val="00D17026"/>
    <w:rsid w:val="00D20984"/>
    <w:rsid w:val="00D242C0"/>
    <w:rsid w:val="00D3201A"/>
    <w:rsid w:val="00D7093F"/>
    <w:rsid w:val="00D82C27"/>
    <w:rsid w:val="00D908E3"/>
    <w:rsid w:val="00DA1D52"/>
    <w:rsid w:val="00DC380C"/>
    <w:rsid w:val="00DD13BE"/>
    <w:rsid w:val="00DD2E9C"/>
    <w:rsid w:val="00DD328E"/>
    <w:rsid w:val="00DE16E8"/>
    <w:rsid w:val="00E00173"/>
    <w:rsid w:val="00E00F86"/>
    <w:rsid w:val="00E04B1F"/>
    <w:rsid w:val="00E36491"/>
    <w:rsid w:val="00E5061A"/>
    <w:rsid w:val="00E50C6B"/>
    <w:rsid w:val="00E533D1"/>
    <w:rsid w:val="00E55DB0"/>
    <w:rsid w:val="00E64C2A"/>
    <w:rsid w:val="00E77E50"/>
    <w:rsid w:val="00E9049D"/>
    <w:rsid w:val="00E94375"/>
    <w:rsid w:val="00EC22C5"/>
    <w:rsid w:val="00EC6BB2"/>
    <w:rsid w:val="00ED267F"/>
    <w:rsid w:val="00EE0F3C"/>
    <w:rsid w:val="00F0322B"/>
    <w:rsid w:val="00F11420"/>
    <w:rsid w:val="00F26DB3"/>
    <w:rsid w:val="00F46E68"/>
    <w:rsid w:val="00F5114F"/>
    <w:rsid w:val="00F51BDD"/>
    <w:rsid w:val="00F52CDD"/>
    <w:rsid w:val="00F54F6D"/>
    <w:rsid w:val="00F55E99"/>
    <w:rsid w:val="00F65CA9"/>
    <w:rsid w:val="00F661EB"/>
    <w:rsid w:val="00F855E0"/>
    <w:rsid w:val="00F95FED"/>
    <w:rsid w:val="00FA282D"/>
    <w:rsid w:val="00FA4983"/>
    <w:rsid w:val="00FA5B20"/>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78C44F"/>
  <w15:chartTrackingRefBased/>
  <w15:docId w15:val="{4FA14C4C-BD60-4726-BBF5-1B1484E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76DF"/>
    <w:pPr>
      <w:keepNext/>
      <w:keepLines/>
      <w:tabs>
        <w:tab w:val="left" w:pos="144"/>
      </w:tabs>
      <w:spacing w:before="120" w:after="0" w:line="480" w:lineRule="exact"/>
      <w:outlineLvl w:val="1"/>
    </w:pPr>
    <w:rPr>
      <w:rFonts w:ascii="Times" w:eastAsiaTheme="majorEastAsia" w:hAnsi="Times" w:cstheme="majorBidi"/>
      <w:b/>
      <w:bCs/>
      <w:sz w:val="24"/>
      <w:szCs w:val="24"/>
    </w:rPr>
  </w:style>
  <w:style w:type="paragraph" w:styleId="Heading3">
    <w:name w:val="heading 3"/>
    <w:basedOn w:val="Normal"/>
    <w:next w:val="Normal"/>
    <w:link w:val="Heading3Char"/>
    <w:uiPriority w:val="9"/>
    <w:unhideWhenUsed/>
    <w:qFormat/>
    <w:rsid w:val="002428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52"/>
  </w:style>
  <w:style w:type="paragraph" w:styleId="Footer">
    <w:name w:val="footer"/>
    <w:basedOn w:val="Normal"/>
    <w:link w:val="FooterChar"/>
    <w:uiPriority w:val="99"/>
    <w:unhideWhenUsed/>
    <w:rsid w:val="00DA1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52"/>
  </w:style>
  <w:style w:type="paragraph" w:styleId="CommentText">
    <w:name w:val="annotation text"/>
    <w:basedOn w:val="Normal"/>
    <w:link w:val="CommentTextChar"/>
    <w:uiPriority w:val="99"/>
    <w:semiHidden/>
    <w:unhideWhenUsed/>
    <w:rsid w:val="005730A1"/>
    <w:pPr>
      <w:spacing w:line="240" w:lineRule="auto"/>
    </w:pPr>
    <w:rPr>
      <w:sz w:val="20"/>
      <w:szCs w:val="20"/>
    </w:rPr>
  </w:style>
  <w:style w:type="character" w:customStyle="1" w:styleId="CommentTextChar">
    <w:name w:val="Comment Text Char"/>
    <w:basedOn w:val="DefaultParagraphFont"/>
    <w:link w:val="CommentText"/>
    <w:uiPriority w:val="99"/>
    <w:semiHidden/>
    <w:rsid w:val="005730A1"/>
    <w:rPr>
      <w:sz w:val="20"/>
      <w:szCs w:val="20"/>
    </w:rPr>
  </w:style>
  <w:style w:type="paragraph" w:styleId="FootnoteText">
    <w:name w:val="footnote text"/>
    <w:basedOn w:val="Normal"/>
    <w:link w:val="FootnoteTextChar"/>
    <w:uiPriority w:val="99"/>
    <w:semiHidden/>
    <w:unhideWhenUsed/>
    <w:rsid w:val="00573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0A1"/>
    <w:rPr>
      <w:sz w:val="20"/>
      <w:szCs w:val="20"/>
    </w:rPr>
  </w:style>
  <w:style w:type="character" w:styleId="CommentReference">
    <w:name w:val="annotation reference"/>
    <w:uiPriority w:val="99"/>
    <w:semiHidden/>
    <w:unhideWhenUsed/>
    <w:rsid w:val="005730A1"/>
    <w:rPr>
      <w:sz w:val="18"/>
      <w:szCs w:val="18"/>
    </w:rPr>
  </w:style>
  <w:style w:type="character" w:styleId="FootnoteReference">
    <w:name w:val="footnote reference"/>
    <w:uiPriority w:val="99"/>
    <w:unhideWhenUsed/>
    <w:rsid w:val="005730A1"/>
    <w:rPr>
      <w:vertAlign w:val="superscript"/>
    </w:rPr>
  </w:style>
  <w:style w:type="paragraph" w:styleId="Revision">
    <w:name w:val="Revision"/>
    <w:hidden/>
    <w:uiPriority w:val="99"/>
    <w:semiHidden/>
    <w:rsid w:val="0014236B"/>
    <w:pPr>
      <w:spacing w:after="0" w:line="240" w:lineRule="auto"/>
    </w:pPr>
  </w:style>
  <w:style w:type="paragraph" w:styleId="BalloonText">
    <w:name w:val="Balloon Text"/>
    <w:basedOn w:val="Normal"/>
    <w:link w:val="BalloonTextChar"/>
    <w:uiPriority w:val="99"/>
    <w:semiHidden/>
    <w:unhideWhenUsed/>
    <w:rsid w:val="00142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6B"/>
    <w:rPr>
      <w:rFonts w:ascii="Segoe UI" w:hAnsi="Segoe UI" w:cs="Segoe UI"/>
      <w:sz w:val="18"/>
      <w:szCs w:val="18"/>
    </w:rPr>
  </w:style>
  <w:style w:type="paragraph" w:styleId="ListParagraph">
    <w:name w:val="List Paragraph"/>
    <w:basedOn w:val="Normal"/>
    <w:uiPriority w:val="34"/>
    <w:qFormat/>
    <w:rsid w:val="00E64C2A"/>
    <w:pPr>
      <w:ind w:left="720"/>
      <w:contextualSpacing/>
    </w:pPr>
  </w:style>
  <w:style w:type="paragraph" w:styleId="CommentSubject">
    <w:name w:val="annotation subject"/>
    <w:basedOn w:val="CommentText"/>
    <w:next w:val="CommentText"/>
    <w:link w:val="CommentSubjectChar"/>
    <w:uiPriority w:val="99"/>
    <w:semiHidden/>
    <w:unhideWhenUsed/>
    <w:rsid w:val="007D213D"/>
    <w:rPr>
      <w:b/>
      <w:bCs/>
    </w:rPr>
  </w:style>
  <w:style w:type="character" w:customStyle="1" w:styleId="CommentSubjectChar">
    <w:name w:val="Comment Subject Char"/>
    <w:basedOn w:val="CommentTextChar"/>
    <w:link w:val="CommentSubject"/>
    <w:uiPriority w:val="99"/>
    <w:semiHidden/>
    <w:rsid w:val="007D213D"/>
    <w:rPr>
      <w:b/>
      <w:bCs/>
      <w:sz w:val="20"/>
      <w:szCs w:val="20"/>
    </w:rPr>
  </w:style>
  <w:style w:type="paragraph" w:styleId="NormalWeb">
    <w:name w:val="Normal (Web)"/>
    <w:basedOn w:val="Normal"/>
    <w:uiPriority w:val="99"/>
    <w:unhideWhenUsed/>
    <w:rsid w:val="003F5F9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E55DB0"/>
    <w:pPr>
      <w:spacing w:after="0" w:line="240" w:lineRule="auto"/>
    </w:pPr>
  </w:style>
  <w:style w:type="paragraph" w:customStyle="1" w:styleId="Singlespace">
    <w:name w:val="Single space"/>
    <w:basedOn w:val="Normal"/>
    <w:qFormat/>
    <w:rsid w:val="00F26DB3"/>
    <w:pPr>
      <w:tabs>
        <w:tab w:val="left" w:pos="144"/>
      </w:tabs>
      <w:spacing w:after="0" w:line="240" w:lineRule="auto"/>
    </w:pPr>
    <w:rPr>
      <w:rFonts w:ascii="Times" w:eastAsia="Cambria" w:hAnsi="Times" w:cs="Times New Roman"/>
      <w:sz w:val="24"/>
      <w:szCs w:val="24"/>
    </w:rPr>
  </w:style>
  <w:style w:type="character" w:customStyle="1" w:styleId="Heading2Char">
    <w:name w:val="Heading 2 Char"/>
    <w:basedOn w:val="DefaultParagraphFont"/>
    <w:link w:val="Heading2"/>
    <w:uiPriority w:val="9"/>
    <w:rsid w:val="003076DF"/>
    <w:rPr>
      <w:rFonts w:ascii="Times" w:eastAsiaTheme="majorEastAsia" w:hAnsi="Times" w:cstheme="majorBidi"/>
      <w:b/>
      <w:bCs/>
      <w:sz w:val="24"/>
      <w:szCs w:val="24"/>
    </w:rPr>
  </w:style>
  <w:style w:type="table" w:styleId="TableGrid">
    <w:name w:val="Table Grid"/>
    <w:basedOn w:val="TableNormal"/>
    <w:rsid w:val="003076DF"/>
    <w:pPr>
      <w:tabs>
        <w:tab w:val="left" w:pos="360"/>
      </w:tabs>
      <w:spacing w:after="0" w:line="240" w:lineRule="auto"/>
    </w:pPr>
    <w:rPr>
      <w:rFonts w:ascii="Times" w:eastAsiaTheme="minorEastAsia" w:hAnsi="Times"/>
      <w:sz w:val="24"/>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076DF"/>
  </w:style>
  <w:style w:type="character" w:styleId="Hyperlink">
    <w:name w:val="Hyperlink"/>
    <w:basedOn w:val="DefaultParagraphFont"/>
    <w:uiPriority w:val="99"/>
    <w:unhideWhenUsed/>
    <w:rsid w:val="00E50C6B"/>
    <w:rPr>
      <w:color w:val="0563C1" w:themeColor="hyperlink"/>
      <w:u w:val="single"/>
    </w:rPr>
  </w:style>
  <w:style w:type="character" w:customStyle="1" w:styleId="Heading3Char">
    <w:name w:val="Heading 3 Char"/>
    <w:basedOn w:val="DefaultParagraphFont"/>
    <w:link w:val="Heading3"/>
    <w:uiPriority w:val="9"/>
    <w:rsid w:val="0024287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074">
      <w:bodyDiv w:val="1"/>
      <w:marLeft w:val="0"/>
      <w:marRight w:val="0"/>
      <w:marTop w:val="0"/>
      <w:marBottom w:val="0"/>
      <w:divBdr>
        <w:top w:val="none" w:sz="0" w:space="0" w:color="auto"/>
        <w:left w:val="none" w:sz="0" w:space="0" w:color="auto"/>
        <w:bottom w:val="none" w:sz="0" w:space="0" w:color="auto"/>
        <w:right w:val="none" w:sz="0" w:space="0" w:color="auto"/>
      </w:divBdr>
    </w:div>
    <w:div w:id="700059498">
      <w:bodyDiv w:val="1"/>
      <w:marLeft w:val="0"/>
      <w:marRight w:val="0"/>
      <w:marTop w:val="0"/>
      <w:marBottom w:val="0"/>
      <w:divBdr>
        <w:top w:val="none" w:sz="0" w:space="0" w:color="auto"/>
        <w:left w:val="none" w:sz="0" w:space="0" w:color="auto"/>
        <w:bottom w:val="none" w:sz="0" w:space="0" w:color="auto"/>
        <w:right w:val="none" w:sz="0" w:space="0" w:color="auto"/>
      </w:divBdr>
    </w:div>
    <w:div w:id="1339649428">
      <w:bodyDiv w:val="1"/>
      <w:marLeft w:val="0"/>
      <w:marRight w:val="0"/>
      <w:marTop w:val="0"/>
      <w:marBottom w:val="0"/>
      <w:divBdr>
        <w:top w:val="none" w:sz="0" w:space="0" w:color="auto"/>
        <w:left w:val="none" w:sz="0" w:space="0" w:color="auto"/>
        <w:bottom w:val="none" w:sz="0" w:space="0" w:color="auto"/>
        <w:right w:val="none" w:sz="0" w:space="0" w:color="auto"/>
      </w:divBdr>
    </w:div>
    <w:div w:id="1377582546">
      <w:bodyDiv w:val="1"/>
      <w:marLeft w:val="0"/>
      <w:marRight w:val="0"/>
      <w:marTop w:val="0"/>
      <w:marBottom w:val="0"/>
      <w:divBdr>
        <w:top w:val="none" w:sz="0" w:space="0" w:color="auto"/>
        <w:left w:val="none" w:sz="0" w:space="0" w:color="auto"/>
        <w:bottom w:val="none" w:sz="0" w:space="0" w:color="auto"/>
        <w:right w:val="none" w:sz="0" w:space="0" w:color="auto"/>
      </w:divBdr>
      <w:divsChild>
        <w:div w:id="2066445213">
          <w:marLeft w:val="547"/>
          <w:marRight w:val="0"/>
          <w:marTop w:val="154"/>
          <w:marBottom w:val="0"/>
          <w:divBdr>
            <w:top w:val="none" w:sz="0" w:space="0" w:color="auto"/>
            <w:left w:val="none" w:sz="0" w:space="0" w:color="auto"/>
            <w:bottom w:val="none" w:sz="0" w:space="0" w:color="auto"/>
            <w:right w:val="none" w:sz="0" w:space="0" w:color="auto"/>
          </w:divBdr>
        </w:div>
        <w:div w:id="9236875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hall@umb.edu" TargetMode="External"/><Relationship Id="rId13" Type="http://schemas.openxmlformats.org/officeDocument/2006/relationships/footer" Target="footer1.xml"/><Relationship Id="rId18" Type="http://schemas.openxmlformats.org/officeDocument/2006/relationships/hyperlink" Target="https://www.medicaid.gov/federal-policy-guidance/downloads/cib050917.pdf"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jean.winsor@umb.edu" TargetMode="External"/><Relationship Id="rId12" Type="http://schemas.openxmlformats.org/officeDocument/2006/relationships/header" Target="header2.xml"/><Relationship Id="rId17" Type="http://schemas.openxmlformats.org/officeDocument/2006/relationships/hyperlink" Target="http://apse.org/employmen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specialneeds.com/children-and-parents/autism/guardianship-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cid:image001.jpg@01D1D2ED.4C404EA0" TargetMode="External"/><Relationship Id="rId19" Type="http://schemas.openxmlformats.org/officeDocument/2006/relationships/hyperlink" Target="http://www.aucd.org/docs/policy/HCBS/HCBS%20Settings%20Rules_What%20You%20Should%20Know!%20Final%201%2022%202016.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23</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 Winsor</dc:creator>
  <cp:keywords/>
  <dc:description/>
  <cp:lastModifiedBy>Allison</cp:lastModifiedBy>
  <cp:revision>6</cp:revision>
  <dcterms:created xsi:type="dcterms:W3CDTF">2017-11-07T12:57:00Z</dcterms:created>
  <dcterms:modified xsi:type="dcterms:W3CDTF">2017-11-15T20:39:00Z</dcterms:modified>
</cp:coreProperties>
</file>