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12147" w14:textId="77777777" w:rsidR="00B951AC" w:rsidRDefault="004358BE" w:rsidP="00B951AC">
      <w:pPr>
        <w:spacing w:line="240" w:lineRule="auto"/>
        <w:jc w:val="center"/>
        <w:rPr>
          <w:rStyle w:val="CommentReference"/>
          <w:rFonts w:cs="Arial"/>
          <w:sz w:val="24"/>
          <w:szCs w:val="24"/>
        </w:rPr>
      </w:pPr>
      <w:r w:rsidRPr="00FE43F2">
        <w:rPr>
          <w:rStyle w:val="CommentReference"/>
          <w:rFonts w:cs="Arial"/>
          <w:sz w:val="24"/>
          <w:szCs w:val="24"/>
        </w:rPr>
        <w:t>RRTC on Advancing Employment for Individuals with IDD</w:t>
      </w:r>
      <w:r w:rsidR="00FE43F2">
        <w:rPr>
          <w:rStyle w:val="CommentReference"/>
          <w:rFonts w:cs="Arial"/>
          <w:sz w:val="24"/>
          <w:szCs w:val="24"/>
        </w:rPr>
        <w:t xml:space="preserve"> </w:t>
      </w:r>
    </w:p>
    <w:p w14:paraId="38F8FBEA" w14:textId="7000632A" w:rsidR="004358BE" w:rsidRPr="00FE43F2" w:rsidRDefault="004358BE" w:rsidP="00B951AC">
      <w:pPr>
        <w:spacing w:line="240" w:lineRule="auto"/>
        <w:jc w:val="center"/>
        <w:rPr>
          <w:rStyle w:val="CommentReference"/>
          <w:rFonts w:cs="Arial"/>
          <w:sz w:val="24"/>
          <w:szCs w:val="24"/>
        </w:rPr>
      </w:pPr>
      <w:r w:rsidRPr="00FE43F2">
        <w:rPr>
          <w:rStyle w:val="CommentReference"/>
          <w:rFonts w:cs="Arial"/>
          <w:sz w:val="24"/>
          <w:szCs w:val="24"/>
        </w:rPr>
        <w:t xml:space="preserve">State of the Science Paper – State level strategy and policy </w:t>
      </w:r>
    </w:p>
    <w:p w14:paraId="42E50A56" w14:textId="5718A6BE" w:rsidR="004358BE" w:rsidRDefault="004358BE" w:rsidP="00B951AC">
      <w:pPr>
        <w:spacing w:line="240" w:lineRule="auto"/>
        <w:jc w:val="center"/>
        <w:rPr>
          <w:rStyle w:val="CommentReference"/>
          <w:rFonts w:cs="Arial"/>
          <w:sz w:val="24"/>
          <w:szCs w:val="24"/>
        </w:rPr>
      </w:pPr>
      <w:r w:rsidRPr="00FE43F2">
        <w:rPr>
          <w:rStyle w:val="CommentReference"/>
          <w:rFonts w:cs="Arial"/>
          <w:sz w:val="24"/>
          <w:szCs w:val="24"/>
        </w:rPr>
        <w:t xml:space="preserve">Brief Summary </w:t>
      </w:r>
    </w:p>
    <w:p w14:paraId="59E943F5" w14:textId="64E0F807" w:rsidR="00B951AC" w:rsidRPr="00FE43F2" w:rsidRDefault="00B951AC" w:rsidP="00B951AC">
      <w:pPr>
        <w:spacing w:line="240" w:lineRule="auto"/>
        <w:jc w:val="center"/>
        <w:rPr>
          <w:rStyle w:val="CommentReference"/>
          <w:rFonts w:cs="Arial"/>
          <w:sz w:val="24"/>
          <w:szCs w:val="24"/>
        </w:rPr>
      </w:pPr>
      <w:r>
        <w:rPr>
          <w:rStyle w:val="CommentReference"/>
          <w:rFonts w:cs="Arial"/>
          <w:sz w:val="24"/>
          <w:szCs w:val="24"/>
        </w:rPr>
        <w:t>August, 2017</w:t>
      </w:r>
    </w:p>
    <w:p w14:paraId="2DE2D061" w14:textId="77777777" w:rsidR="00DC380C" w:rsidRPr="00FE43F2" w:rsidRDefault="00DC380C" w:rsidP="003076DF">
      <w:pPr>
        <w:shd w:val="clear" w:color="auto" w:fill="FFFFFF"/>
        <w:spacing w:line="480" w:lineRule="auto"/>
        <w:rPr>
          <w:rFonts w:eastAsia="Times New Roman" w:cs="Arial"/>
          <w:bCs/>
          <w:caps/>
          <w:color w:val="283C46"/>
          <w:sz w:val="24"/>
          <w:szCs w:val="24"/>
          <w:u w:val="single"/>
        </w:rPr>
      </w:pPr>
      <w:r w:rsidRPr="00FE43F2">
        <w:rPr>
          <w:rFonts w:eastAsia="Times New Roman" w:cs="Arial"/>
          <w:bCs/>
          <w:caps/>
          <w:color w:val="283C46"/>
          <w:sz w:val="24"/>
          <w:szCs w:val="24"/>
          <w:u w:val="single"/>
        </w:rPr>
        <w:t>Introduction</w:t>
      </w:r>
    </w:p>
    <w:p w14:paraId="7160F2A0" w14:textId="2C884ED8" w:rsidR="00DC380C" w:rsidRPr="00FE43F2" w:rsidRDefault="00DC380C" w:rsidP="00DC380C">
      <w:pPr>
        <w:spacing w:line="480" w:lineRule="auto"/>
        <w:rPr>
          <w:rFonts w:cs="Arial"/>
          <w:sz w:val="24"/>
          <w:szCs w:val="24"/>
        </w:rPr>
      </w:pPr>
      <w:r w:rsidRPr="00FE43F2">
        <w:rPr>
          <w:rFonts w:cs="Arial"/>
          <w:sz w:val="24"/>
          <w:szCs w:val="24"/>
        </w:rPr>
        <w:t xml:space="preserve">Since the introduction of supported employment in the Developmental Disabilities Act of 1984 and the Rehabilitation Act Amendments of 1986, there has been continued development and refinement of best practices in employment services and supports. </w:t>
      </w:r>
      <w:r w:rsidR="004358BE" w:rsidRPr="00FE43F2">
        <w:rPr>
          <w:rFonts w:cs="Arial"/>
          <w:sz w:val="24"/>
          <w:szCs w:val="24"/>
        </w:rPr>
        <w:t>Progress includes demonstration</w:t>
      </w:r>
      <w:r w:rsidRPr="00FE43F2">
        <w:rPr>
          <w:rFonts w:cs="Arial"/>
          <w:sz w:val="24"/>
          <w:szCs w:val="24"/>
        </w:rPr>
        <w:t xml:space="preserve"> of creative outcomes for individuals with significant support needs, including customized jobs and self-employment, community rehabilitation providers that have shifted emphasis to integrated employment, and states that have made a substantial investment in Employment First policy and strategy. Despite these achievements, the promise of integrated </w:t>
      </w:r>
      <w:proofErr w:type="gramStart"/>
      <w:r w:rsidRPr="00FE43F2">
        <w:rPr>
          <w:rFonts w:cs="Arial"/>
          <w:sz w:val="24"/>
          <w:szCs w:val="24"/>
        </w:rPr>
        <w:t>employment</w:t>
      </w:r>
      <w:proofErr w:type="gramEnd"/>
      <w:r w:rsidRPr="00FE43F2">
        <w:rPr>
          <w:rFonts w:cs="Arial"/>
          <w:sz w:val="24"/>
          <w:szCs w:val="24"/>
        </w:rPr>
        <w:t xml:space="preserve"> has not been realized for many individuals with </w:t>
      </w:r>
      <w:r w:rsidR="004358BE" w:rsidRPr="00FE43F2">
        <w:rPr>
          <w:rFonts w:cs="Arial"/>
          <w:sz w:val="24"/>
          <w:szCs w:val="24"/>
        </w:rPr>
        <w:t>intellectual/developmental disabilities (</w:t>
      </w:r>
      <w:r w:rsidRPr="00FE43F2">
        <w:rPr>
          <w:rFonts w:cs="Arial"/>
          <w:sz w:val="24"/>
          <w:szCs w:val="24"/>
        </w:rPr>
        <w:t>IDD</w:t>
      </w:r>
      <w:r w:rsidR="004358BE" w:rsidRPr="00FE43F2">
        <w:rPr>
          <w:rFonts w:cs="Arial"/>
          <w:sz w:val="24"/>
          <w:szCs w:val="24"/>
        </w:rPr>
        <w:t>)</w:t>
      </w:r>
      <w:r w:rsidRPr="00FE43F2">
        <w:rPr>
          <w:rFonts w:cs="Arial"/>
          <w:sz w:val="24"/>
          <w:szCs w:val="24"/>
        </w:rPr>
        <w:t>. The number of individuals supported in integrated employment by state IDD ag</w:t>
      </w:r>
      <w:r w:rsidR="004358BE" w:rsidRPr="00FE43F2">
        <w:rPr>
          <w:rFonts w:cs="Arial"/>
          <w:sz w:val="24"/>
          <w:szCs w:val="24"/>
        </w:rPr>
        <w:t>encies has remained stagnant over</w:t>
      </w:r>
      <w:r w:rsidRPr="00FE43F2">
        <w:rPr>
          <w:rFonts w:cs="Arial"/>
          <w:sz w:val="24"/>
          <w:szCs w:val="24"/>
        </w:rPr>
        <w:t xml:space="preserve"> the past fifteen years, participation in non-work services has grown rapidly, and individual employment supports are not implemented with fidelity to a consistent model or expectations (Butterworth et al, 2016).</w:t>
      </w:r>
    </w:p>
    <w:p w14:paraId="2F48D8B7" w14:textId="7B37C0F4" w:rsidR="00DC380C" w:rsidRPr="00FE43F2" w:rsidRDefault="00DC380C" w:rsidP="003076DF">
      <w:pPr>
        <w:spacing w:line="480" w:lineRule="auto"/>
        <w:ind w:firstLine="720"/>
        <w:rPr>
          <w:rFonts w:cs="Arial"/>
          <w:bCs/>
          <w:color w:val="000000"/>
          <w:sz w:val="24"/>
          <w:szCs w:val="24"/>
        </w:rPr>
      </w:pPr>
      <w:r w:rsidRPr="00FE43F2">
        <w:rPr>
          <w:rFonts w:cs="Arial"/>
          <w:sz w:val="24"/>
          <w:szCs w:val="24"/>
        </w:rPr>
        <w:t xml:space="preserve">Responding to this need, the </w:t>
      </w:r>
      <w:r w:rsidRPr="00FE43F2">
        <w:rPr>
          <w:rFonts w:cs="Arial"/>
          <w:bCs/>
          <w:color w:val="000000"/>
          <w:sz w:val="24"/>
          <w:szCs w:val="24"/>
        </w:rPr>
        <w:t>Rehabilitation Research and Training Center (RRTC) on Advancing Employment for Individuals with Intellectual and Developmental Disabilities is a research project housed at the Institute for Community Inclusion (ICI) at the University of Massach</w:t>
      </w:r>
      <w:r w:rsidR="004358BE" w:rsidRPr="00FE43F2">
        <w:rPr>
          <w:rFonts w:cs="Arial"/>
          <w:bCs/>
          <w:color w:val="000000"/>
          <w:sz w:val="24"/>
          <w:szCs w:val="24"/>
        </w:rPr>
        <w:t>usetts Boston. It is part of</w:t>
      </w:r>
      <w:r w:rsidRPr="00FE43F2">
        <w:rPr>
          <w:rFonts w:cs="Arial"/>
          <w:bCs/>
          <w:color w:val="000000"/>
          <w:sz w:val="24"/>
          <w:szCs w:val="24"/>
        </w:rPr>
        <w:t xml:space="preserve"> ICI’s </w:t>
      </w:r>
      <w:proofErr w:type="spellStart"/>
      <w:r w:rsidRPr="00FE43F2">
        <w:rPr>
          <w:rFonts w:cs="Arial"/>
          <w:bCs/>
          <w:color w:val="000000"/>
          <w:sz w:val="24"/>
          <w:szCs w:val="24"/>
        </w:rPr>
        <w:t>ThinkWork</w:t>
      </w:r>
      <w:proofErr w:type="spellEnd"/>
      <w:r w:rsidRPr="00FE43F2">
        <w:rPr>
          <w:rFonts w:cs="Arial"/>
          <w:bCs/>
          <w:color w:val="000000"/>
          <w:sz w:val="24"/>
          <w:szCs w:val="24"/>
        </w:rPr>
        <w:t xml:space="preserve">! </w:t>
      </w:r>
      <w:proofErr w:type="gramStart"/>
      <w:r w:rsidRPr="00FE43F2">
        <w:rPr>
          <w:rFonts w:cs="Arial"/>
          <w:bCs/>
          <w:color w:val="000000"/>
          <w:sz w:val="24"/>
          <w:szCs w:val="24"/>
        </w:rPr>
        <w:t>initiative</w:t>
      </w:r>
      <w:proofErr w:type="gramEnd"/>
      <w:r w:rsidRPr="00FE43F2">
        <w:rPr>
          <w:rFonts w:cs="Arial"/>
          <w:bCs/>
          <w:color w:val="000000"/>
          <w:sz w:val="24"/>
          <w:szCs w:val="24"/>
        </w:rPr>
        <w:t>, a group of projects promoting community employment for people with IDD.</w:t>
      </w:r>
    </w:p>
    <w:p w14:paraId="18AEB03C" w14:textId="7FDD7729" w:rsidR="00DC380C" w:rsidRPr="00FE43F2" w:rsidRDefault="00DC380C" w:rsidP="00DC380C">
      <w:pPr>
        <w:spacing w:line="480" w:lineRule="auto"/>
        <w:rPr>
          <w:rFonts w:cs="Arial"/>
          <w:color w:val="000000"/>
          <w:sz w:val="24"/>
          <w:szCs w:val="24"/>
        </w:rPr>
      </w:pPr>
      <w:r w:rsidRPr="00FE43F2">
        <w:rPr>
          <w:rFonts w:cs="Arial"/>
          <w:bCs/>
          <w:color w:val="000000"/>
          <w:sz w:val="24"/>
          <w:szCs w:val="24"/>
        </w:rPr>
        <w:lastRenderedPageBreak/>
        <w:t xml:space="preserve">The RRTC’s work covers </w:t>
      </w:r>
      <w:r w:rsidR="004358BE" w:rsidRPr="00FE43F2">
        <w:rPr>
          <w:rFonts w:cs="Arial"/>
          <w:bCs/>
          <w:color w:val="000000"/>
          <w:sz w:val="24"/>
          <w:szCs w:val="24"/>
        </w:rPr>
        <w:t xml:space="preserve">four </w:t>
      </w:r>
      <w:r w:rsidRPr="00FE43F2">
        <w:rPr>
          <w:rFonts w:cs="Arial"/>
          <w:bCs/>
          <w:color w:val="000000"/>
          <w:sz w:val="24"/>
          <w:szCs w:val="24"/>
        </w:rPr>
        <w:t xml:space="preserve">main </w:t>
      </w:r>
      <w:r w:rsidR="00AA4AF7" w:rsidRPr="00FE43F2">
        <w:rPr>
          <w:rFonts w:cs="Arial"/>
          <w:bCs/>
          <w:color w:val="000000"/>
          <w:sz w:val="24"/>
          <w:szCs w:val="24"/>
        </w:rPr>
        <w:t>research strands</w:t>
      </w:r>
      <w:r w:rsidRPr="00FE43F2">
        <w:rPr>
          <w:rFonts w:cs="Arial"/>
          <w:bCs/>
          <w:color w:val="000000"/>
          <w:sz w:val="24"/>
          <w:szCs w:val="24"/>
        </w:rPr>
        <w:t>: </w:t>
      </w:r>
    </w:p>
    <w:p w14:paraId="00ABB9C7" w14:textId="753DE7E6" w:rsidR="00DC380C" w:rsidRPr="00FE43F2" w:rsidRDefault="00AA4AF7" w:rsidP="00DC380C">
      <w:pPr>
        <w:spacing w:line="480" w:lineRule="auto"/>
        <w:ind w:left="720" w:hanging="360"/>
        <w:rPr>
          <w:rFonts w:cs="Arial"/>
          <w:color w:val="000000"/>
          <w:sz w:val="24"/>
          <w:szCs w:val="24"/>
        </w:rPr>
      </w:pPr>
      <w:r w:rsidRPr="00FE43F2">
        <w:rPr>
          <w:rFonts w:cs="Arial"/>
          <w:b/>
          <w:bCs/>
          <w:color w:val="000000"/>
          <w:sz w:val="24"/>
          <w:szCs w:val="24"/>
        </w:rPr>
        <w:t xml:space="preserve">Strand </w:t>
      </w:r>
      <w:r w:rsidR="00DC380C" w:rsidRPr="00FE43F2">
        <w:rPr>
          <w:rFonts w:cs="Arial"/>
          <w:b/>
          <w:bCs/>
          <w:color w:val="000000"/>
          <w:sz w:val="24"/>
          <w:szCs w:val="24"/>
        </w:rPr>
        <w:t>1.</w:t>
      </w:r>
      <w:r w:rsidR="00DC380C" w:rsidRPr="00FE43F2">
        <w:rPr>
          <w:rFonts w:cs="Arial"/>
          <w:color w:val="000000"/>
          <w:sz w:val="24"/>
          <w:szCs w:val="24"/>
        </w:rPr>
        <w:t>  </w:t>
      </w:r>
      <w:r w:rsidR="00DC380C" w:rsidRPr="00FE43F2">
        <w:rPr>
          <w:rFonts w:cs="Arial"/>
          <w:bCs/>
          <w:color w:val="000000"/>
          <w:sz w:val="24"/>
          <w:szCs w:val="24"/>
        </w:rPr>
        <w:t>Sharing knowledge with and supporting individuals</w:t>
      </w:r>
      <w:r w:rsidR="004358BE" w:rsidRPr="00FE43F2">
        <w:rPr>
          <w:rFonts w:cs="Arial"/>
          <w:bCs/>
          <w:color w:val="000000"/>
          <w:sz w:val="24"/>
          <w:szCs w:val="24"/>
        </w:rPr>
        <w:t xml:space="preserve"> and families around employment;</w:t>
      </w:r>
    </w:p>
    <w:p w14:paraId="5702C1D0" w14:textId="62F66B26" w:rsidR="00DC380C" w:rsidRPr="00FE43F2" w:rsidRDefault="00AA4AF7" w:rsidP="00DC380C">
      <w:pPr>
        <w:spacing w:line="480" w:lineRule="auto"/>
        <w:ind w:left="720" w:hanging="360"/>
        <w:rPr>
          <w:rFonts w:cs="Arial"/>
          <w:color w:val="000000"/>
          <w:sz w:val="24"/>
          <w:szCs w:val="24"/>
        </w:rPr>
      </w:pPr>
      <w:r w:rsidRPr="00FE43F2">
        <w:rPr>
          <w:rFonts w:cs="Arial"/>
          <w:b/>
          <w:bCs/>
          <w:color w:val="000000"/>
          <w:sz w:val="24"/>
          <w:szCs w:val="24"/>
        </w:rPr>
        <w:t xml:space="preserve">Strand </w:t>
      </w:r>
      <w:r w:rsidR="00DC380C" w:rsidRPr="00FE43F2">
        <w:rPr>
          <w:rFonts w:cs="Arial"/>
          <w:b/>
          <w:bCs/>
          <w:color w:val="000000"/>
          <w:sz w:val="24"/>
          <w:szCs w:val="24"/>
        </w:rPr>
        <w:t>2.</w:t>
      </w:r>
      <w:r w:rsidR="00DC380C" w:rsidRPr="00FE43F2">
        <w:rPr>
          <w:rFonts w:cs="Arial"/>
          <w:color w:val="000000"/>
          <w:sz w:val="24"/>
          <w:szCs w:val="24"/>
        </w:rPr>
        <w:t>  </w:t>
      </w:r>
      <w:r w:rsidR="00DC380C" w:rsidRPr="00FE43F2">
        <w:rPr>
          <w:rFonts w:cs="Arial"/>
          <w:bCs/>
          <w:color w:val="000000"/>
          <w:sz w:val="24"/>
          <w:szCs w:val="24"/>
        </w:rPr>
        <w:t>Increasing the effectiveness of employment consultants</w:t>
      </w:r>
      <w:r w:rsidR="004358BE" w:rsidRPr="00FE43F2">
        <w:rPr>
          <w:rFonts w:cs="Arial"/>
          <w:bCs/>
          <w:color w:val="000000"/>
          <w:sz w:val="24"/>
          <w:szCs w:val="24"/>
        </w:rPr>
        <w:t>;</w:t>
      </w:r>
    </w:p>
    <w:p w14:paraId="1FD21D16" w14:textId="22796FBE" w:rsidR="00DC380C" w:rsidRPr="00FE43F2" w:rsidRDefault="00AA4AF7" w:rsidP="00DC380C">
      <w:pPr>
        <w:spacing w:line="480" w:lineRule="auto"/>
        <w:ind w:left="720" w:hanging="360"/>
        <w:rPr>
          <w:rFonts w:cs="Arial"/>
          <w:color w:val="000000"/>
          <w:sz w:val="24"/>
          <w:szCs w:val="24"/>
        </w:rPr>
      </w:pPr>
      <w:r w:rsidRPr="00FE43F2">
        <w:rPr>
          <w:rFonts w:cs="Arial"/>
          <w:b/>
          <w:bCs/>
          <w:color w:val="000000"/>
          <w:sz w:val="24"/>
          <w:szCs w:val="24"/>
        </w:rPr>
        <w:t xml:space="preserve">Strand </w:t>
      </w:r>
      <w:r w:rsidR="00DC380C" w:rsidRPr="00FE43F2">
        <w:rPr>
          <w:rFonts w:cs="Arial"/>
          <w:b/>
          <w:bCs/>
          <w:color w:val="000000"/>
          <w:sz w:val="24"/>
          <w:szCs w:val="24"/>
        </w:rPr>
        <w:t>3.</w:t>
      </w:r>
      <w:r w:rsidR="00DC380C" w:rsidRPr="00FE43F2">
        <w:rPr>
          <w:rFonts w:cs="Arial"/>
          <w:color w:val="000000"/>
          <w:sz w:val="24"/>
          <w:szCs w:val="24"/>
        </w:rPr>
        <w:t>  </w:t>
      </w:r>
      <w:r w:rsidR="00DC380C" w:rsidRPr="00FE43F2">
        <w:rPr>
          <w:rFonts w:cs="Arial"/>
          <w:bCs/>
          <w:color w:val="000000"/>
          <w:sz w:val="24"/>
          <w:szCs w:val="24"/>
        </w:rPr>
        <w:t>Building capacity and supporting organizational change for community rehabilitation providers</w:t>
      </w:r>
      <w:r w:rsidR="004358BE" w:rsidRPr="00FE43F2">
        <w:rPr>
          <w:rFonts w:cs="Arial"/>
          <w:bCs/>
          <w:color w:val="000000"/>
          <w:sz w:val="24"/>
          <w:szCs w:val="24"/>
        </w:rPr>
        <w:t>;</w:t>
      </w:r>
    </w:p>
    <w:p w14:paraId="5AB28FBC" w14:textId="27C084D2" w:rsidR="00DC380C" w:rsidRPr="00FE43F2" w:rsidRDefault="00AA4AF7" w:rsidP="00DC380C">
      <w:pPr>
        <w:spacing w:line="480" w:lineRule="auto"/>
        <w:ind w:left="720" w:hanging="360"/>
        <w:rPr>
          <w:rFonts w:cs="Arial"/>
          <w:bCs/>
          <w:color w:val="000000"/>
          <w:sz w:val="24"/>
          <w:szCs w:val="24"/>
        </w:rPr>
      </w:pPr>
      <w:r w:rsidRPr="00FE43F2">
        <w:rPr>
          <w:rFonts w:cs="Arial"/>
          <w:b/>
          <w:bCs/>
          <w:color w:val="000000"/>
          <w:sz w:val="24"/>
          <w:szCs w:val="24"/>
        </w:rPr>
        <w:t xml:space="preserve">Strand </w:t>
      </w:r>
      <w:r w:rsidR="00DC380C" w:rsidRPr="00FE43F2">
        <w:rPr>
          <w:rFonts w:cs="Arial"/>
          <w:b/>
          <w:bCs/>
          <w:color w:val="000000"/>
          <w:sz w:val="24"/>
          <w:szCs w:val="24"/>
        </w:rPr>
        <w:t>4.</w:t>
      </w:r>
      <w:r w:rsidR="00DC380C" w:rsidRPr="00FE43F2">
        <w:rPr>
          <w:rFonts w:cs="Arial"/>
          <w:color w:val="000000"/>
          <w:sz w:val="24"/>
          <w:szCs w:val="24"/>
        </w:rPr>
        <w:t>  </w:t>
      </w:r>
      <w:r w:rsidR="00DC380C" w:rsidRPr="00FE43F2">
        <w:rPr>
          <w:rFonts w:cs="Arial"/>
          <w:bCs/>
          <w:color w:val="000000"/>
          <w:sz w:val="24"/>
          <w:szCs w:val="24"/>
        </w:rPr>
        <w:t>Furthering policies and practices of high-performing state employment systems</w:t>
      </w:r>
      <w:r w:rsidR="004358BE" w:rsidRPr="00FE43F2">
        <w:rPr>
          <w:rFonts w:cs="Arial"/>
          <w:bCs/>
          <w:color w:val="000000"/>
          <w:sz w:val="24"/>
          <w:szCs w:val="24"/>
        </w:rPr>
        <w:t>.</w:t>
      </w:r>
    </w:p>
    <w:p w14:paraId="0F4108B9" w14:textId="77777777" w:rsidR="00755FA7" w:rsidRPr="00FE43F2" w:rsidRDefault="00755FA7" w:rsidP="00755FA7">
      <w:pPr>
        <w:spacing w:line="480" w:lineRule="auto"/>
        <w:rPr>
          <w:rFonts w:cs="Arial"/>
          <w:bCs/>
          <w:sz w:val="24"/>
          <w:szCs w:val="24"/>
        </w:rPr>
      </w:pPr>
      <w:r w:rsidRPr="00FE43F2">
        <w:rPr>
          <w:rFonts w:cs="Arial"/>
          <w:bCs/>
          <w:sz w:val="24"/>
          <w:szCs w:val="24"/>
        </w:rPr>
        <w:t xml:space="preserve">This </w:t>
      </w:r>
      <w:r w:rsidR="00AA4AF7" w:rsidRPr="00FE43F2">
        <w:rPr>
          <w:rFonts w:cs="Arial"/>
          <w:bCs/>
          <w:sz w:val="24"/>
          <w:szCs w:val="24"/>
        </w:rPr>
        <w:t>brief</w:t>
      </w:r>
      <w:r w:rsidRPr="00FE43F2">
        <w:rPr>
          <w:rFonts w:cs="Arial"/>
          <w:bCs/>
          <w:sz w:val="24"/>
          <w:szCs w:val="24"/>
        </w:rPr>
        <w:t xml:space="preserve"> covers Strand 4: Policies and Practices of High-Performing State Employment Systems.</w:t>
      </w:r>
    </w:p>
    <w:p w14:paraId="4CF86A7D" w14:textId="77777777" w:rsidR="00A6249C" w:rsidRPr="00FE43F2" w:rsidRDefault="0064269E" w:rsidP="00E61CFE">
      <w:pPr>
        <w:spacing w:after="0" w:line="480" w:lineRule="auto"/>
        <w:textAlignment w:val="baseline"/>
        <w:rPr>
          <w:rFonts w:eastAsia="Times New Roman" w:cs="Arial"/>
          <w:color w:val="000000"/>
          <w:sz w:val="24"/>
          <w:szCs w:val="24"/>
        </w:rPr>
      </w:pPr>
      <w:r w:rsidRPr="00FE43F2">
        <w:rPr>
          <w:rFonts w:eastAsia="Times New Roman" w:cs="Arial"/>
          <w:color w:val="000000"/>
          <w:sz w:val="24"/>
          <w:szCs w:val="24"/>
          <w:u w:val="single"/>
        </w:rPr>
        <w:t>BACKGROUND</w:t>
      </w:r>
    </w:p>
    <w:p w14:paraId="711A099C" w14:textId="4781F1A8" w:rsidR="003076DF" w:rsidRPr="00FE43F2" w:rsidRDefault="00A6249C" w:rsidP="002C3287">
      <w:pPr>
        <w:spacing w:after="0" w:line="480" w:lineRule="auto"/>
        <w:ind w:firstLine="720"/>
        <w:textAlignment w:val="baseline"/>
        <w:rPr>
          <w:rFonts w:cs="Arial"/>
          <w:sz w:val="24"/>
          <w:szCs w:val="24"/>
        </w:rPr>
      </w:pPr>
      <w:r w:rsidRPr="00FE43F2">
        <w:rPr>
          <w:rFonts w:eastAsia="Times New Roman" w:cs="Arial"/>
          <w:color w:val="000000"/>
          <w:sz w:val="24"/>
          <w:szCs w:val="24"/>
        </w:rPr>
        <w:t xml:space="preserve">Many factors </w:t>
      </w:r>
      <w:r w:rsidR="00C57DC7" w:rsidRPr="00FE43F2">
        <w:rPr>
          <w:rFonts w:eastAsia="Times New Roman" w:cs="Arial"/>
          <w:color w:val="000000"/>
          <w:sz w:val="24"/>
          <w:szCs w:val="24"/>
        </w:rPr>
        <w:t>color</w:t>
      </w:r>
      <w:r w:rsidRPr="00FE43F2">
        <w:rPr>
          <w:rFonts w:eastAsia="Times New Roman" w:cs="Arial"/>
          <w:color w:val="000000"/>
          <w:sz w:val="24"/>
          <w:szCs w:val="24"/>
        </w:rPr>
        <w:t xml:space="preserve"> the national landscape around integrated employment including Em</w:t>
      </w:r>
      <w:r w:rsidR="004358BE" w:rsidRPr="00FE43F2">
        <w:rPr>
          <w:rFonts w:eastAsia="Times New Roman" w:cs="Arial"/>
          <w:color w:val="000000"/>
          <w:sz w:val="24"/>
          <w:szCs w:val="24"/>
        </w:rPr>
        <w:t xml:space="preserve">ployment First initiatives, CMS’s </w:t>
      </w:r>
      <w:r w:rsidRPr="00FE43F2">
        <w:rPr>
          <w:rFonts w:eastAsia="Times New Roman" w:cs="Arial"/>
          <w:color w:val="000000"/>
          <w:sz w:val="24"/>
          <w:szCs w:val="24"/>
        </w:rPr>
        <w:t>H</w:t>
      </w:r>
      <w:r w:rsidR="004358BE" w:rsidRPr="00FE43F2">
        <w:rPr>
          <w:rFonts w:eastAsia="Times New Roman" w:cs="Arial"/>
          <w:color w:val="000000"/>
          <w:sz w:val="24"/>
          <w:szCs w:val="24"/>
        </w:rPr>
        <w:t xml:space="preserve">ome and Community-Based Services Final </w:t>
      </w:r>
      <w:r w:rsidRPr="00FE43F2">
        <w:rPr>
          <w:rFonts w:eastAsia="Times New Roman" w:cs="Arial"/>
          <w:color w:val="000000"/>
          <w:sz w:val="24"/>
          <w:szCs w:val="24"/>
        </w:rPr>
        <w:t xml:space="preserve">Rule, the application of Olmstead to employment settings, and the </w:t>
      </w:r>
      <w:r w:rsidRPr="00FE43F2">
        <w:rPr>
          <w:rFonts w:cs="Arial"/>
          <w:sz w:val="24"/>
          <w:szCs w:val="24"/>
        </w:rPr>
        <w:t>Workforce Innovation and Opportunity Act (WIOA)</w:t>
      </w:r>
      <w:r w:rsidRPr="00FE43F2">
        <w:rPr>
          <w:rFonts w:eastAsia="Times New Roman" w:cs="Arial"/>
          <w:color w:val="000000"/>
          <w:sz w:val="24"/>
          <w:szCs w:val="24"/>
        </w:rPr>
        <w:t>.</w:t>
      </w:r>
      <w:r w:rsidRPr="00FE43F2">
        <w:rPr>
          <w:rFonts w:cs="Arial"/>
          <w:sz w:val="24"/>
          <w:szCs w:val="24"/>
        </w:rPr>
        <w:t xml:space="preserve"> </w:t>
      </w:r>
      <w:r w:rsidR="00905049" w:rsidRPr="00FE43F2">
        <w:rPr>
          <w:rFonts w:eastAsia="Times New Roman" w:cs="Arial"/>
          <w:color w:val="000000"/>
          <w:sz w:val="24"/>
          <w:szCs w:val="24"/>
        </w:rPr>
        <w:t>Despite the</w:t>
      </w:r>
      <w:r w:rsidR="00AA4AF7" w:rsidRPr="00FE43F2">
        <w:rPr>
          <w:rFonts w:eastAsia="Times New Roman" w:cs="Arial"/>
          <w:color w:val="000000"/>
          <w:sz w:val="24"/>
          <w:szCs w:val="24"/>
        </w:rPr>
        <w:t xml:space="preserve"> increasing emphasis on integrated employment and an Employment First philosophy, </w:t>
      </w:r>
      <w:r w:rsidR="00A93CA6" w:rsidRPr="00FE43F2">
        <w:rPr>
          <w:rFonts w:eastAsia="Times New Roman" w:cs="Arial"/>
          <w:color w:val="000000"/>
          <w:sz w:val="24"/>
          <w:szCs w:val="24"/>
        </w:rPr>
        <w:t xml:space="preserve">however, </w:t>
      </w:r>
      <w:r w:rsidR="00AA4AF7" w:rsidRPr="00FE43F2">
        <w:rPr>
          <w:rFonts w:eastAsia="Times New Roman" w:cs="Arial"/>
          <w:color w:val="000000"/>
          <w:sz w:val="24"/>
          <w:szCs w:val="24"/>
        </w:rPr>
        <w:t xml:space="preserve">there remains a significant gap in employment rates between people with and without disabilities. The 2014 American Community Survey (ACS) estimates that 33.7% of working-age adults with disabilities are employed, compared with 72.9% of people without disabilities (Butterworth et al., 2016). Data from the National Core Indicators Project suggest that </w:t>
      </w:r>
      <w:r w:rsidR="002C3287" w:rsidRPr="00FE43F2">
        <w:rPr>
          <w:rFonts w:eastAsia="Times New Roman" w:cs="Arial"/>
          <w:color w:val="000000"/>
          <w:sz w:val="24"/>
          <w:szCs w:val="24"/>
        </w:rPr>
        <w:t xml:space="preserve">only 16% of working-age adults supported by state IDD agencies in 2014–2015 </w:t>
      </w:r>
      <w:r w:rsidR="00AA4AF7" w:rsidRPr="00FE43F2">
        <w:rPr>
          <w:rFonts w:eastAsia="Times New Roman" w:cs="Arial"/>
          <w:color w:val="000000"/>
          <w:sz w:val="24"/>
          <w:szCs w:val="24"/>
        </w:rPr>
        <w:t>were employed in a paid job in the community (</w:t>
      </w:r>
      <w:proofErr w:type="spellStart"/>
      <w:r w:rsidR="00AA4AF7" w:rsidRPr="00FE43F2">
        <w:rPr>
          <w:rFonts w:eastAsia="Times New Roman" w:cs="Arial"/>
          <w:color w:val="000000"/>
          <w:sz w:val="24"/>
          <w:szCs w:val="24"/>
        </w:rPr>
        <w:t>Hiersteiner</w:t>
      </w:r>
      <w:proofErr w:type="spellEnd"/>
      <w:r w:rsidR="00AA4AF7" w:rsidRPr="00FE43F2">
        <w:rPr>
          <w:rFonts w:eastAsia="Times New Roman" w:cs="Arial"/>
          <w:color w:val="000000"/>
          <w:sz w:val="24"/>
          <w:szCs w:val="24"/>
        </w:rPr>
        <w:t xml:space="preserve">, </w:t>
      </w:r>
      <w:proofErr w:type="spellStart"/>
      <w:r w:rsidR="00AA4AF7" w:rsidRPr="00FE43F2">
        <w:rPr>
          <w:rFonts w:eastAsia="Times New Roman" w:cs="Arial"/>
          <w:color w:val="000000"/>
          <w:sz w:val="24"/>
          <w:szCs w:val="24"/>
        </w:rPr>
        <w:t>Bershadsky</w:t>
      </w:r>
      <w:proofErr w:type="spellEnd"/>
      <w:r w:rsidR="00AA4AF7" w:rsidRPr="00FE43F2">
        <w:rPr>
          <w:rFonts w:eastAsia="Times New Roman" w:cs="Arial"/>
          <w:color w:val="000000"/>
          <w:sz w:val="24"/>
          <w:szCs w:val="24"/>
        </w:rPr>
        <w:t xml:space="preserve">, </w:t>
      </w:r>
      <w:proofErr w:type="spellStart"/>
      <w:r w:rsidR="00AA4AF7" w:rsidRPr="00FE43F2">
        <w:rPr>
          <w:rFonts w:eastAsia="Times New Roman" w:cs="Arial"/>
          <w:color w:val="000000"/>
          <w:sz w:val="24"/>
          <w:szCs w:val="24"/>
        </w:rPr>
        <w:t>Bonardi</w:t>
      </w:r>
      <w:proofErr w:type="spellEnd"/>
      <w:r w:rsidR="00AA4AF7" w:rsidRPr="00FE43F2">
        <w:rPr>
          <w:rFonts w:eastAsia="Times New Roman" w:cs="Arial"/>
          <w:color w:val="000000"/>
          <w:sz w:val="24"/>
          <w:szCs w:val="24"/>
        </w:rPr>
        <w:t xml:space="preserve">, &amp; Butterworth, 2016). ICI research shows that an estimated 19% of individuals receiving day </w:t>
      </w:r>
      <w:r w:rsidR="00AA4AF7" w:rsidRPr="00FE43F2">
        <w:rPr>
          <w:rFonts w:eastAsia="Times New Roman" w:cs="Arial"/>
          <w:color w:val="000000"/>
          <w:sz w:val="24"/>
          <w:szCs w:val="24"/>
        </w:rPr>
        <w:lastRenderedPageBreak/>
        <w:t>supports from state IDD agencies participated in integrated employment services during FY2014 (Bu</w:t>
      </w:r>
      <w:r w:rsidR="002C3287" w:rsidRPr="00FE43F2">
        <w:rPr>
          <w:rFonts w:eastAsia="Times New Roman" w:cs="Arial"/>
          <w:color w:val="000000"/>
          <w:sz w:val="24"/>
          <w:szCs w:val="24"/>
        </w:rPr>
        <w:t xml:space="preserve">tterworth et al., 2016), while </w:t>
      </w:r>
      <w:r w:rsidR="00AA4AF7" w:rsidRPr="00FE43F2">
        <w:rPr>
          <w:rFonts w:eastAsia="Times New Roman" w:cs="Arial"/>
          <w:color w:val="000000"/>
          <w:sz w:val="24"/>
          <w:szCs w:val="24"/>
        </w:rPr>
        <w:t>participation in facility-based and non-work services has grown, suggesting that employment services remain an add-on rather than a systemic change (Nord et al.</w:t>
      </w:r>
      <w:r w:rsidR="00FE43F2" w:rsidRPr="00FE43F2">
        <w:rPr>
          <w:rFonts w:eastAsia="Times New Roman" w:cs="Arial"/>
          <w:color w:val="000000"/>
          <w:sz w:val="24"/>
          <w:szCs w:val="24"/>
        </w:rPr>
        <w:t>, 2016; Butterworth et al., 2016</w:t>
      </w:r>
      <w:r w:rsidR="00AA4AF7" w:rsidRPr="00FE43F2">
        <w:rPr>
          <w:rFonts w:eastAsia="Times New Roman" w:cs="Arial"/>
          <w:color w:val="000000"/>
          <w:sz w:val="24"/>
          <w:szCs w:val="24"/>
        </w:rPr>
        <w:t xml:space="preserve">; </w:t>
      </w:r>
      <w:proofErr w:type="spellStart"/>
      <w:r w:rsidR="00AA4AF7" w:rsidRPr="00FE43F2">
        <w:rPr>
          <w:rFonts w:eastAsia="Times New Roman" w:cs="Arial"/>
          <w:color w:val="000000"/>
          <w:sz w:val="24"/>
          <w:szCs w:val="24"/>
        </w:rPr>
        <w:t>Mank</w:t>
      </w:r>
      <w:proofErr w:type="spellEnd"/>
      <w:r w:rsidR="00AA4AF7" w:rsidRPr="00FE43F2">
        <w:rPr>
          <w:rFonts w:eastAsia="Times New Roman" w:cs="Arial"/>
          <w:color w:val="000000"/>
          <w:sz w:val="24"/>
          <w:szCs w:val="24"/>
        </w:rPr>
        <w:t>, 2003; Domin &amp; Butterworth, 2012).</w:t>
      </w:r>
    </w:p>
    <w:p w14:paraId="0EEF9B76" w14:textId="69867F34" w:rsidR="000A20CB" w:rsidRPr="00FE43F2" w:rsidRDefault="002D7CBB" w:rsidP="00A93CA6">
      <w:pPr>
        <w:autoSpaceDE w:val="0"/>
        <w:autoSpaceDN w:val="0"/>
        <w:adjustRightInd w:val="0"/>
        <w:spacing w:line="480" w:lineRule="auto"/>
        <w:ind w:firstLine="720"/>
        <w:rPr>
          <w:rFonts w:eastAsia="Times New Roman" w:cs="Arial"/>
          <w:color w:val="000000"/>
          <w:sz w:val="24"/>
          <w:szCs w:val="24"/>
        </w:rPr>
      </w:pPr>
      <w:r w:rsidRPr="00FE43F2">
        <w:rPr>
          <w:rFonts w:eastAsia="Times New Roman" w:cs="Arial"/>
          <w:color w:val="000000"/>
          <w:sz w:val="24"/>
          <w:szCs w:val="24"/>
        </w:rPr>
        <w:t>With this data as background, p</w:t>
      </w:r>
      <w:r w:rsidR="00A93CA6" w:rsidRPr="00FE43F2">
        <w:rPr>
          <w:rFonts w:eastAsia="Times New Roman" w:cs="Arial"/>
          <w:color w:val="000000"/>
          <w:sz w:val="24"/>
          <w:szCs w:val="24"/>
        </w:rPr>
        <w:t xml:space="preserve">articipants in the </w:t>
      </w:r>
      <w:r w:rsidR="000A20CB" w:rsidRPr="00FE43F2">
        <w:rPr>
          <w:rFonts w:eastAsia="Times New Roman" w:cs="Arial"/>
          <w:color w:val="000000"/>
          <w:sz w:val="24"/>
          <w:szCs w:val="24"/>
        </w:rPr>
        <w:t xml:space="preserve">2015 </w:t>
      </w:r>
      <w:r w:rsidR="00A93CA6" w:rsidRPr="00FE43F2">
        <w:rPr>
          <w:rFonts w:eastAsia="Times New Roman" w:cs="Arial"/>
          <w:color w:val="000000"/>
          <w:sz w:val="24"/>
          <w:szCs w:val="24"/>
        </w:rPr>
        <w:t xml:space="preserve">National Goals in Research, Practice and Policy for and with People with Intellectual and Developmental Disabilities </w:t>
      </w:r>
      <w:r w:rsidR="000A20CB" w:rsidRPr="00FE43F2">
        <w:rPr>
          <w:rFonts w:cs="Arial"/>
          <w:sz w:val="24"/>
          <w:szCs w:val="24"/>
        </w:rPr>
        <w:t xml:space="preserve">called </w:t>
      </w:r>
      <w:r w:rsidR="000A20CB" w:rsidRPr="00FE43F2">
        <w:rPr>
          <w:rFonts w:eastAsia="Times New Roman" w:cs="Arial"/>
          <w:color w:val="000000"/>
          <w:sz w:val="24"/>
          <w:szCs w:val="24"/>
        </w:rPr>
        <w:t>for an “improved, comparative understanding of related policy (and) practice…inputs, (and their) resulting outcomes” and emphasized the need for alignment among systems</w:t>
      </w:r>
      <w:r w:rsidR="00FE43F2">
        <w:rPr>
          <w:rFonts w:eastAsia="Times New Roman" w:cs="Arial"/>
          <w:color w:val="000000"/>
          <w:sz w:val="24"/>
          <w:szCs w:val="24"/>
        </w:rPr>
        <w:t xml:space="preserve"> (Nord et al, 2016)</w:t>
      </w:r>
      <w:r w:rsidR="000A20CB" w:rsidRPr="00FE43F2">
        <w:rPr>
          <w:rFonts w:eastAsia="Times New Roman" w:cs="Arial"/>
          <w:color w:val="000000"/>
          <w:sz w:val="24"/>
          <w:szCs w:val="24"/>
        </w:rPr>
        <w:t xml:space="preserve">. </w:t>
      </w:r>
      <w:r w:rsidR="00A93CA6" w:rsidRPr="00FE43F2">
        <w:rPr>
          <w:rFonts w:eastAsia="Times New Roman" w:cs="Arial"/>
          <w:color w:val="000000"/>
          <w:sz w:val="24"/>
          <w:szCs w:val="24"/>
        </w:rPr>
        <w:t>This</w:t>
      </w:r>
      <w:r w:rsidR="000A20CB" w:rsidRPr="00FE43F2">
        <w:rPr>
          <w:rFonts w:eastAsia="Times New Roman" w:cs="Arial"/>
          <w:color w:val="000000"/>
          <w:sz w:val="24"/>
          <w:szCs w:val="24"/>
        </w:rPr>
        <w:t xml:space="preserve"> research takes steps to address this </w:t>
      </w:r>
      <w:r w:rsidR="00027E87" w:rsidRPr="00FE43F2">
        <w:rPr>
          <w:rFonts w:eastAsia="Times New Roman" w:cs="Arial"/>
          <w:color w:val="000000"/>
          <w:sz w:val="24"/>
          <w:szCs w:val="24"/>
        </w:rPr>
        <w:t>charge</w:t>
      </w:r>
      <w:r w:rsidR="000A20CB" w:rsidRPr="00FE43F2">
        <w:rPr>
          <w:rFonts w:eastAsia="Times New Roman" w:cs="Arial"/>
          <w:color w:val="000000"/>
          <w:sz w:val="24"/>
          <w:szCs w:val="24"/>
        </w:rPr>
        <w:t xml:space="preserve"> by studying </w:t>
      </w:r>
      <w:r w:rsidR="000A20CB" w:rsidRPr="00FE43F2">
        <w:rPr>
          <w:rFonts w:cs="Arial"/>
          <w:sz w:val="24"/>
          <w:szCs w:val="24"/>
        </w:rPr>
        <w:t>state employment systems’ policies and practices and their relationship to individual outcomes, and defining strategies of high-performing, collabo</w:t>
      </w:r>
      <w:r w:rsidR="00027E87" w:rsidRPr="00FE43F2">
        <w:rPr>
          <w:rFonts w:cs="Arial"/>
          <w:sz w:val="24"/>
          <w:szCs w:val="24"/>
        </w:rPr>
        <w:t>rative state employment systems. To this end, analyses of higher performing states through composite indicator scores, case studies, and policy analysis</w:t>
      </w:r>
      <w:r w:rsidR="002C3287" w:rsidRPr="00FE43F2">
        <w:rPr>
          <w:rFonts w:cs="Arial"/>
          <w:sz w:val="24"/>
          <w:szCs w:val="24"/>
        </w:rPr>
        <w:t xml:space="preserve"> is underway using the Higher Performing States Model as a foundation for exploration. </w:t>
      </w:r>
      <w:r w:rsidR="00027E87" w:rsidRPr="00FE43F2">
        <w:rPr>
          <w:rFonts w:cs="Arial"/>
          <w:sz w:val="24"/>
          <w:szCs w:val="24"/>
        </w:rPr>
        <w:t xml:space="preserve"> </w:t>
      </w:r>
    </w:p>
    <w:p w14:paraId="192BC607" w14:textId="77777777" w:rsidR="00A93CA6" w:rsidRPr="00FE43F2" w:rsidRDefault="00B47EFE" w:rsidP="00B47EFE">
      <w:pPr>
        <w:spacing w:line="480" w:lineRule="auto"/>
        <w:rPr>
          <w:rFonts w:cs="Arial"/>
          <w:sz w:val="24"/>
          <w:szCs w:val="24"/>
        </w:rPr>
      </w:pPr>
      <w:r w:rsidRPr="00FE43F2">
        <w:rPr>
          <w:rFonts w:cs="Arial"/>
          <w:b/>
          <w:sz w:val="24"/>
          <w:szCs w:val="24"/>
        </w:rPr>
        <w:t>T</w:t>
      </w:r>
      <w:r w:rsidR="00A93CA6" w:rsidRPr="00FE43F2">
        <w:rPr>
          <w:rFonts w:cs="Arial"/>
          <w:b/>
          <w:sz w:val="24"/>
          <w:szCs w:val="24"/>
        </w:rPr>
        <w:t>he High</w:t>
      </w:r>
      <w:r w:rsidR="00C364B5" w:rsidRPr="00FE43F2">
        <w:rPr>
          <w:rFonts w:cs="Arial"/>
          <w:b/>
          <w:sz w:val="24"/>
          <w:szCs w:val="24"/>
        </w:rPr>
        <w:t>er</w:t>
      </w:r>
      <w:r w:rsidR="00A93CA6" w:rsidRPr="00FE43F2">
        <w:rPr>
          <w:rFonts w:cs="Arial"/>
          <w:b/>
          <w:sz w:val="24"/>
          <w:szCs w:val="24"/>
        </w:rPr>
        <w:t xml:space="preserve"> Performing States Model</w:t>
      </w:r>
    </w:p>
    <w:p w14:paraId="3F58AAF2" w14:textId="160946C2" w:rsidR="00C57DC7" w:rsidRPr="00FE43F2" w:rsidRDefault="00B47EFE" w:rsidP="00A93CA6">
      <w:pPr>
        <w:spacing w:line="480" w:lineRule="auto"/>
        <w:ind w:firstLine="720"/>
        <w:rPr>
          <w:rFonts w:cs="Arial"/>
          <w:sz w:val="24"/>
          <w:szCs w:val="24"/>
        </w:rPr>
      </w:pPr>
      <w:r w:rsidRPr="00FE43F2">
        <w:rPr>
          <w:rFonts w:cs="Arial"/>
          <w:sz w:val="24"/>
          <w:szCs w:val="24"/>
        </w:rPr>
        <w:t xml:space="preserve">The large variation in employment participation across state IDD agencies suggests that examining state agency policy and practice is vital for understanding employment outcomes. </w:t>
      </w:r>
      <w:r w:rsidR="00C57DC7" w:rsidRPr="00FE43F2">
        <w:rPr>
          <w:rFonts w:cs="Arial"/>
          <w:sz w:val="24"/>
          <w:szCs w:val="24"/>
        </w:rPr>
        <w:t>The High</w:t>
      </w:r>
      <w:r w:rsidR="00C364B5" w:rsidRPr="00FE43F2">
        <w:rPr>
          <w:rFonts w:cs="Arial"/>
          <w:sz w:val="24"/>
          <w:szCs w:val="24"/>
        </w:rPr>
        <w:t>er</w:t>
      </w:r>
      <w:r w:rsidR="00C57DC7" w:rsidRPr="00FE43F2">
        <w:rPr>
          <w:rFonts w:cs="Arial"/>
          <w:sz w:val="24"/>
          <w:szCs w:val="24"/>
        </w:rPr>
        <w:t xml:space="preserve"> Performing States model (Figure 1) was developed</w:t>
      </w:r>
      <w:r w:rsidR="00A93CA6" w:rsidRPr="00FE43F2">
        <w:rPr>
          <w:rFonts w:cs="Arial"/>
          <w:sz w:val="24"/>
          <w:szCs w:val="24"/>
        </w:rPr>
        <w:t xml:space="preserve"> over ten years ago</w:t>
      </w:r>
      <w:r w:rsidR="002D7CBB" w:rsidRPr="00FE43F2">
        <w:rPr>
          <w:rFonts w:cs="Arial"/>
          <w:sz w:val="24"/>
          <w:szCs w:val="24"/>
        </w:rPr>
        <w:t xml:space="preserve"> from research that considered</w:t>
      </w:r>
      <w:r w:rsidR="00C57DC7" w:rsidRPr="00FE43F2">
        <w:rPr>
          <w:rFonts w:cs="Arial"/>
          <w:sz w:val="24"/>
          <w:szCs w:val="24"/>
        </w:rPr>
        <w:t xml:space="preserve"> common strategies and approaches across state IDD agencies with high levels of integrated employment outcomes, and identifies seven elements that communicate commitment to the goals of community inclusion and integrated employment</w:t>
      </w:r>
      <w:r w:rsidR="00FE43F2" w:rsidRPr="00FE43F2">
        <w:rPr>
          <w:rFonts w:cs="Arial"/>
          <w:sz w:val="24"/>
          <w:szCs w:val="24"/>
        </w:rPr>
        <w:t xml:space="preserve"> (Hall et al, 2007)</w:t>
      </w:r>
      <w:r w:rsidR="00C57DC7" w:rsidRPr="00FE43F2">
        <w:rPr>
          <w:rFonts w:cs="Arial"/>
          <w:sz w:val="24"/>
          <w:szCs w:val="24"/>
        </w:rPr>
        <w:t xml:space="preserve">. </w:t>
      </w:r>
    </w:p>
    <w:p w14:paraId="47A2ECCA" w14:textId="77777777" w:rsidR="00A93CA6" w:rsidRPr="00FE43F2" w:rsidRDefault="00A93CA6" w:rsidP="00A93CA6">
      <w:pPr>
        <w:spacing w:line="480" w:lineRule="auto"/>
        <w:rPr>
          <w:rFonts w:cs="Arial"/>
          <w:sz w:val="24"/>
          <w:szCs w:val="24"/>
        </w:rPr>
      </w:pPr>
      <w:r w:rsidRPr="00FE43F2">
        <w:rPr>
          <w:rFonts w:cs="Arial"/>
          <w:sz w:val="24"/>
          <w:szCs w:val="24"/>
        </w:rPr>
        <w:t xml:space="preserve">Figure 1. </w:t>
      </w:r>
      <w:r w:rsidRPr="00FE43F2">
        <w:rPr>
          <w:rFonts w:eastAsia="Times New Roman" w:cs="Arial"/>
          <w:sz w:val="24"/>
          <w:szCs w:val="24"/>
        </w:rPr>
        <w:t xml:space="preserve">Higher-Performing States Employment Framework </w:t>
      </w:r>
      <w:r w:rsidRPr="00FE43F2">
        <w:rPr>
          <w:rFonts w:cs="Arial"/>
          <w:sz w:val="24"/>
          <w:szCs w:val="24"/>
        </w:rPr>
        <w:t xml:space="preserve"> </w:t>
      </w:r>
    </w:p>
    <w:p w14:paraId="5062EA48" w14:textId="77777777" w:rsidR="00A93CA6" w:rsidRPr="00FE43F2" w:rsidRDefault="00A93CA6" w:rsidP="00A93CA6">
      <w:pPr>
        <w:spacing w:line="480" w:lineRule="auto"/>
        <w:ind w:firstLine="720"/>
        <w:rPr>
          <w:rFonts w:cs="Arial"/>
          <w:sz w:val="24"/>
          <w:szCs w:val="24"/>
        </w:rPr>
      </w:pPr>
    </w:p>
    <w:p w14:paraId="7DC2B162" w14:textId="77777777" w:rsidR="00A93CA6" w:rsidRPr="00FE43F2" w:rsidRDefault="00A93CA6" w:rsidP="00A93CA6">
      <w:pPr>
        <w:spacing w:line="480" w:lineRule="auto"/>
        <w:ind w:firstLine="720"/>
        <w:rPr>
          <w:rFonts w:cs="Arial"/>
          <w:sz w:val="24"/>
          <w:szCs w:val="24"/>
        </w:rPr>
      </w:pPr>
      <w:r w:rsidRPr="00FE43F2">
        <w:rPr>
          <w:rFonts w:cs="Arial"/>
          <w:noProof/>
          <w:sz w:val="24"/>
          <w:szCs w:val="24"/>
        </w:rPr>
        <w:drawing>
          <wp:inline distT="0" distB="0" distL="0" distR="0" wp14:anchorId="1BA89080" wp14:editId="2CBC3B91">
            <wp:extent cx="5943600" cy="2844165"/>
            <wp:effectExtent l="0" t="0" r="0" b="0"/>
            <wp:docPr id="1" name="Picture 1" descr="cid:image001.jpg@01D1D2ED.4C404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5C6E38-FA44-4DB7-9CD4-4E70BCC1180E" descr="cid:image001.jpg@01D1D2ED.4C404E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44165"/>
                    </a:xfrm>
                    <a:prstGeom prst="rect">
                      <a:avLst/>
                    </a:prstGeom>
                    <a:noFill/>
                    <a:ln>
                      <a:noFill/>
                    </a:ln>
                  </pic:spPr>
                </pic:pic>
              </a:graphicData>
            </a:graphic>
          </wp:inline>
        </w:drawing>
      </w:r>
    </w:p>
    <w:p w14:paraId="311BE5A7" w14:textId="189D8B06" w:rsidR="00A93CA6" w:rsidRPr="00FE43F2" w:rsidRDefault="0083100B" w:rsidP="00650770">
      <w:pPr>
        <w:spacing w:line="480" w:lineRule="auto"/>
        <w:rPr>
          <w:rFonts w:cs="Arial"/>
          <w:sz w:val="24"/>
          <w:szCs w:val="24"/>
        </w:rPr>
      </w:pPr>
      <w:r w:rsidRPr="00FE43F2">
        <w:rPr>
          <w:rFonts w:cs="Arial"/>
          <w:sz w:val="24"/>
          <w:szCs w:val="24"/>
        </w:rPr>
        <w:t xml:space="preserve">Given the current and increasing emphasis on a cross-systems focus and interagency collaboration, this model is evolving to encompass the systems interactions, relationships, and partnerships that characterize higher performing states.  </w:t>
      </w:r>
      <w:r w:rsidR="00A93CA6" w:rsidRPr="00FE43F2">
        <w:rPr>
          <w:rFonts w:eastAsia="Times New Roman" w:cs="Arial"/>
          <w:color w:val="000000"/>
          <w:sz w:val="24"/>
          <w:szCs w:val="24"/>
        </w:rPr>
        <w:t xml:space="preserve">Building </w:t>
      </w:r>
      <w:r w:rsidR="0064269E" w:rsidRPr="00FE43F2">
        <w:rPr>
          <w:rFonts w:eastAsia="Times New Roman" w:cs="Arial"/>
          <w:color w:val="000000"/>
          <w:sz w:val="24"/>
          <w:szCs w:val="24"/>
        </w:rPr>
        <w:t>on this</w:t>
      </w:r>
      <w:r w:rsidR="00A93CA6" w:rsidRPr="00FE43F2">
        <w:rPr>
          <w:rFonts w:eastAsia="Times New Roman" w:cs="Arial"/>
          <w:color w:val="000000"/>
          <w:sz w:val="24"/>
          <w:szCs w:val="24"/>
        </w:rPr>
        <w:t xml:space="preserve"> foundation of work on state systems and employment, project staff and partners in this research are exploring the relationships between state strategy and employment outcomes, with the goal of producing a framework where systems intentionally align practices with a priority for employment. We use several </w:t>
      </w:r>
      <w:r w:rsidR="00AB643C" w:rsidRPr="00FE43F2">
        <w:rPr>
          <w:rFonts w:eastAsia="Times New Roman" w:cs="Arial"/>
          <w:color w:val="000000"/>
          <w:sz w:val="24"/>
          <w:szCs w:val="24"/>
        </w:rPr>
        <w:t>approaches</w:t>
      </w:r>
      <w:r w:rsidR="00A93CA6" w:rsidRPr="00FE43F2">
        <w:rPr>
          <w:rFonts w:eastAsia="Times New Roman" w:cs="Arial"/>
          <w:color w:val="000000"/>
          <w:sz w:val="24"/>
          <w:szCs w:val="24"/>
        </w:rPr>
        <w:t xml:space="preserve"> including secondary analysis of national data sets (National Core Indicator analysis and the Employment Composite Indicator analysis), case studies of higher-performing state systems, and policy analyses that describe challenges and strategies of states as they respond to national priorities.</w:t>
      </w:r>
      <w:r w:rsidR="002D7CBB" w:rsidRPr="00FE43F2">
        <w:rPr>
          <w:rFonts w:eastAsia="Times New Roman" w:cs="Arial"/>
          <w:color w:val="000000"/>
          <w:sz w:val="24"/>
          <w:szCs w:val="24"/>
        </w:rPr>
        <w:t xml:space="preserve"> </w:t>
      </w:r>
      <w:r w:rsidR="001468A4" w:rsidRPr="00FE43F2">
        <w:rPr>
          <w:rFonts w:eastAsia="Times New Roman" w:cs="Arial"/>
          <w:color w:val="000000"/>
          <w:sz w:val="24"/>
          <w:szCs w:val="24"/>
        </w:rPr>
        <w:t xml:space="preserve">This brief will summarize findings of each in turn. </w:t>
      </w:r>
    </w:p>
    <w:p w14:paraId="1646049F" w14:textId="77777777" w:rsidR="00F26DB3" w:rsidRPr="00FE43F2" w:rsidRDefault="00F26DB3" w:rsidP="00F26DB3">
      <w:pPr>
        <w:spacing w:after="0" w:line="480" w:lineRule="auto"/>
        <w:textAlignment w:val="baseline"/>
        <w:rPr>
          <w:rFonts w:eastAsia="Times New Roman" w:cs="Arial"/>
          <w:i/>
          <w:color w:val="000000"/>
          <w:sz w:val="24"/>
          <w:szCs w:val="24"/>
        </w:rPr>
      </w:pPr>
      <w:r w:rsidRPr="00FE43F2">
        <w:rPr>
          <w:rFonts w:eastAsia="Times New Roman" w:cs="Arial"/>
          <w:i/>
          <w:color w:val="000000"/>
          <w:sz w:val="24"/>
          <w:szCs w:val="24"/>
        </w:rPr>
        <w:t>National Core Indicator Analysis</w:t>
      </w:r>
    </w:p>
    <w:p w14:paraId="107420C1" w14:textId="3205B409" w:rsidR="00A709A1" w:rsidRPr="00FE43F2" w:rsidRDefault="00055963" w:rsidP="00B951AC">
      <w:pPr>
        <w:spacing w:after="0" w:line="480" w:lineRule="auto"/>
        <w:textAlignment w:val="baseline"/>
        <w:rPr>
          <w:rFonts w:cs="Arial"/>
          <w:bCs/>
          <w:sz w:val="24"/>
          <w:szCs w:val="24"/>
        </w:rPr>
      </w:pPr>
      <w:r w:rsidRPr="00FE43F2">
        <w:rPr>
          <w:rFonts w:cs="Arial"/>
          <w:sz w:val="24"/>
          <w:szCs w:val="24"/>
        </w:rPr>
        <w:lastRenderedPageBreak/>
        <w:t>To better understand service users</w:t>
      </w:r>
      <w:r w:rsidR="0064269E" w:rsidRPr="00FE43F2">
        <w:rPr>
          <w:rFonts w:cs="Arial"/>
          <w:sz w:val="24"/>
          <w:szCs w:val="24"/>
        </w:rPr>
        <w:t xml:space="preserve">, </w:t>
      </w:r>
      <w:r w:rsidR="00F26DB3" w:rsidRPr="00FE43F2">
        <w:rPr>
          <w:rFonts w:cs="Arial"/>
          <w:sz w:val="24"/>
          <w:szCs w:val="24"/>
        </w:rPr>
        <w:t>National Core Indicator</w:t>
      </w:r>
      <w:r w:rsidR="004A194E" w:rsidRPr="00FE43F2">
        <w:rPr>
          <w:rFonts w:cs="Arial"/>
          <w:sz w:val="24"/>
          <w:szCs w:val="24"/>
        </w:rPr>
        <w:t>s</w:t>
      </w:r>
      <w:r w:rsidR="00F26DB3" w:rsidRPr="00FE43F2">
        <w:rPr>
          <w:rFonts w:cs="Arial"/>
          <w:sz w:val="24"/>
          <w:szCs w:val="24"/>
        </w:rPr>
        <w:t xml:space="preserve"> (NCI) data from 25 states in 2012</w:t>
      </w:r>
      <w:r w:rsidR="004A194E" w:rsidRPr="00FE43F2">
        <w:rPr>
          <w:rFonts w:cs="Arial"/>
          <w:sz w:val="24"/>
          <w:szCs w:val="24"/>
        </w:rPr>
        <w:t>–</w:t>
      </w:r>
      <w:r w:rsidR="00F26DB3" w:rsidRPr="00FE43F2">
        <w:rPr>
          <w:rFonts w:cs="Arial"/>
          <w:sz w:val="24"/>
          <w:szCs w:val="24"/>
        </w:rPr>
        <w:t xml:space="preserve">2013 were analyzed to identify and describe individual demographic characteristics </w:t>
      </w:r>
      <w:r w:rsidR="0083100B" w:rsidRPr="00FE43F2">
        <w:rPr>
          <w:rFonts w:cs="Arial"/>
          <w:sz w:val="24"/>
          <w:szCs w:val="24"/>
        </w:rPr>
        <w:t xml:space="preserve">of individuals </w:t>
      </w:r>
      <w:r w:rsidR="00F26DB3" w:rsidRPr="00FE43F2">
        <w:rPr>
          <w:rFonts w:cs="Arial"/>
          <w:sz w:val="24"/>
          <w:szCs w:val="24"/>
        </w:rPr>
        <w:t xml:space="preserve">and </w:t>
      </w:r>
      <w:r w:rsidR="0083100B" w:rsidRPr="00FE43F2">
        <w:rPr>
          <w:rFonts w:cs="Arial"/>
          <w:sz w:val="24"/>
          <w:szCs w:val="24"/>
        </w:rPr>
        <w:t xml:space="preserve">their </w:t>
      </w:r>
      <w:r w:rsidR="00F26DB3" w:rsidRPr="00FE43F2">
        <w:rPr>
          <w:rFonts w:cs="Arial"/>
          <w:sz w:val="24"/>
          <w:szCs w:val="24"/>
        </w:rPr>
        <w:t xml:space="preserve">outcomes related to </w:t>
      </w:r>
      <w:r w:rsidR="00594277" w:rsidRPr="00FE43F2">
        <w:rPr>
          <w:rFonts w:cs="Arial"/>
          <w:sz w:val="24"/>
          <w:szCs w:val="24"/>
        </w:rPr>
        <w:t>varied</w:t>
      </w:r>
      <w:r w:rsidR="00F26DB3" w:rsidRPr="00FE43F2">
        <w:rPr>
          <w:rFonts w:cs="Arial"/>
          <w:sz w:val="24"/>
          <w:szCs w:val="24"/>
        </w:rPr>
        <w:t xml:space="preserve"> day and employment settings</w:t>
      </w:r>
      <w:r w:rsidR="00594277" w:rsidRPr="00FE43F2">
        <w:rPr>
          <w:rFonts w:cs="Arial"/>
          <w:sz w:val="24"/>
          <w:szCs w:val="24"/>
        </w:rPr>
        <w:t>.</w:t>
      </w:r>
      <w:r w:rsidR="00594277" w:rsidRPr="00FE43F2">
        <w:rPr>
          <w:rFonts w:cs="Arial"/>
          <w:bCs/>
          <w:sz w:val="24"/>
          <w:szCs w:val="24"/>
        </w:rPr>
        <w:t xml:space="preserve"> Findings indicated that </w:t>
      </w:r>
      <w:r w:rsidR="000C2534" w:rsidRPr="00FE43F2">
        <w:rPr>
          <w:rFonts w:cs="Arial"/>
          <w:bCs/>
          <w:sz w:val="24"/>
          <w:szCs w:val="24"/>
        </w:rPr>
        <w:t>younger individuals were less likely to be in any employment setting</w:t>
      </w:r>
      <w:r w:rsidR="00B5100B" w:rsidRPr="00FE43F2">
        <w:rPr>
          <w:rFonts w:cs="Arial"/>
          <w:bCs/>
          <w:sz w:val="24"/>
          <w:szCs w:val="24"/>
        </w:rPr>
        <w:t>,</w:t>
      </w:r>
      <w:r w:rsidR="000C2534" w:rsidRPr="00FE43F2">
        <w:rPr>
          <w:rFonts w:cs="Arial"/>
          <w:bCs/>
          <w:sz w:val="24"/>
          <w:szCs w:val="24"/>
        </w:rPr>
        <w:t xml:space="preserve"> females were the most underrepresented group in the paid employment group</w:t>
      </w:r>
      <w:r w:rsidR="00B5100B" w:rsidRPr="00FE43F2">
        <w:rPr>
          <w:rFonts w:cs="Arial"/>
          <w:bCs/>
          <w:sz w:val="24"/>
          <w:szCs w:val="24"/>
        </w:rPr>
        <w:t>,</w:t>
      </w:r>
      <w:r w:rsidR="000C2534" w:rsidRPr="00FE43F2">
        <w:rPr>
          <w:rFonts w:cs="Arial"/>
          <w:bCs/>
          <w:sz w:val="24"/>
          <w:szCs w:val="24"/>
        </w:rPr>
        <w:t xml:space="preserve"> and those that had legal guardians were less likely to be employed (Nye-Lengerman, </w:t>
      </w:r>
      <w:proofErr w:type="spellStart"/>
      <w:r w:rsidR="000C2534" w:rsidRPr="00FE43F2">
        <w:rPr>
          <w:rFonts w:cs="Arial"/>
          <w:bCs/>
          <w:sz w:val="24"/>
          <w:szCs w:val="24"/>
        </w:rPr>
        <w:t>Pettingell</w:t>
      </w:r>
      <w:proofErr w:type="spellEnd"/>
      <w:r w:rsidR="000C2534" w:rsidRPr="00FE43F2">
        <w:rPr>
          <w:rFonts w:cs="Arial"/>
          <w:bCs/>
          <w:sz w:val="24"/>
          <w:szCs w:val="24"/>
        </w:rPr>
        <w:t xml:space="preserve">, Nord, </w:t>
      </w:r>
      <w:r w:rsidR="00B5100B" w:rsidRPr="00FE43F2">
        <w:rPr>
          <w:rFonts w:cs="Arial"/>
          <w:bCs/>
          <w:sz w:val="24"/>
          <w:szCs w:val="24"/>
        </w:rPr>
        <w:t xml:space="preserve">&amp; </w:t>
      </w:r>
      <w:r w:rsidR="000C2534" w:rsidRPr="00FE43F2">
        <w:rPr>
          <w:rFonts w:cs="Arial"/>
          <w:bCs/>
          <w:sz w:val="24"/>
          <w:szCs w:val="24"/>
        </w:rPr>
        <w:t xml:space="preserve">Hewitt, under review). </w:t>
      </w:r>
      <w:r w:rsidR="00BC5D14" w:rsidRPr="00FE43F2">
        <w:rPr>
          <w:rFonts w:cs="Arial"/>
          <w:bCs/>
          <w:sz w:val="24"/>
          <w:szCs w:val="24"/>
        </w:rPr>
        <w:t>In general, individuals with IDD continue to receive services in non-work or facility-based employment programs at significantly higher rates than in community employment.</w:t>
      </w:r>
    </w:p>
    <w:p w14:paraId="52194043" w14:textId="77777777" w:rsidR="00F26DB3" w:rsidRPr="00FE43F2" w:rsidRDefault="00E55DB0" w:rsidP="0014035B">
      <w:pPr>
        <w:pStyle w:val="NoSpacing"/>
        <w:spacing w:line="480" w:lineRule="auto"/>
        <w:rPr>
          <w:rFonts w:cs="Arial"/>
          <w:sz w:val="24"/>
          <w:szCs w:val="24"/>
        </w:rPr>
      </w:pPr>
      <w:r w:rsidRPr="00FE43F2">
        <w:rPr>
          <w:rFonts w:cs="Arial"/>
          <w:i/>
          <w:sz w:val="24"/>
          <w:szCs w:val="24"/>
        </w:rPr>
        <w:t xml:space="preserve">The State Employment System Performance </w:t>
      </w:r>
      <w:r w:rsidR="00F26DB3" w:rsidRPr="00FE43F2">
        <w:rPr>
          <w:rFonts w:cs="Arial"/>
          <w:i/>
          <w:sz w:val="24"/>
          <w:szCs w:val="24"/>
        </w:rPr>
        <w:t xml:space="preserve">Composite Indicator </w:t>
      </w:r>
    </w:p>
    <w:p w14:paraId="2DC3345D" w14:textId="77777777" w:rsidR="00E55DB0" w:rsidRPr="00FE43F2" w:rsidRDefault="00A709A1" w:rsidP="0014035B">
      <w:pPr>
        <w:pStyle w:val="NoSpacing"/>
        <w:spacing w:line="480" w:lineRule="auto"/>
        <w:rPr>
          <w:rFonts w:eastAsia="Times New Roman" w:cs="Arial"/>
          <w:i/>
          <w:color w:val="000000"/>
          <w:sz w:val="24"/>
          <w:szCs w:val="24"/>
        </w:rPr>
      </w:pPr>
      <w:r w:rsidRPr="00FE43F2">
        <w:rPr>
          <w:rFonts w:cs="Arial"/>
          <w:sz w:val="24"/>
          <w:szCs w:val="24"/>
        </w:rPr>
        <w:t>The State Employment System Performance Composite Indicator was</w:t>
      </w:r>
      <w:r w:rsidR="00E55DB0" w:rsidRPr="00FE43F2">
        <w:rPr>
          <w:rFonts w:cs="Arial"/>
          <w:sz w:val="24"/>
          <w:szCs w:val="24"/>
        </w:rPr>
        <w:t xml:space="preserve"> developed </w:t>
      </w:r>
      <w:r w:rsidR="00594277" w:rsidRPr="00FE43F2">
        <w:rPr>
          <w:rFonts w:cs="Arial"/>
          <w:sz w:val="24"/>
          <w:szCs w:val="24"/>
          <w:shd w:val="clear" w:color="auto" w:fill="FFFFFF"/>
        </w:rPr>
        <w:t>using</w:t>
      </w:r>
      <w:r w:rsidR="00F5114F" w:rsidRPr="00FE43F2">
        <w:rPr>
          <w:rFonts w:cs="Arial"/>
          <w:sz w:val="24"/>
          <w:szCs w:val="24"/>
          <w:shd w:val="clear" w:color="auto" w:fill="FFFFFF"/>
        </w:rPr>
        <w:t xml:space="preserve"> data representing employment outcomes for state IDD </w:t>
      </w:r>
      <w:r w:rsidR="008A4939" w:rsidRPr="00FE43F2">
        <w:rPr>
          <w:rFonts w:cs="Arial"/>
          <w:sz w:val="24"/>
          <w:szCs w:val="24"/>
          <w:shd w:val="clear" w:color="auto" w:fill="FFFFFF"/>
        </w:rPr>
        <w:t xml:space="preserve">agencies, </w:t>
      </w:r>
      <w:r w:rsidR="00F5114F" w:rsidRPr="00FE43F2">
        <w:rPr>
          <w:rFonts w:cs="Arial"/>
          <w:sz w:val="24"/>
          <w:szCs w:val="24"/>
          <w:shd w:val="clear" w:color="auto" w:fill="FFFFFF"/>
        </w:rPr>
        <w:t xml:space="preserve">state VR agencies, and state public education systems to create a composite indicator representing overall </w:t>
      </w:r>
      <w:r w:rsidR="00F5114F" w:rsidRPr="00FE43F2">
        <w:rPr>
          <w:rFonts w:cs="Arial"/>
          <w:sz w:val="24"/>
          <w:szCs w:val="24"/>
        </w:rPr>
        <w:t xml:space="preserve">state employment system performance rankings. </w:t>
      </w:r>
    </w:p>
    <w:p w14:paraId="34BCAE73" w14:textId="174C059B" w:rsidR="00D05D7F" w:rsidRPr="00FE43F2" w:rsidRDefault="00E55DB0">
      <w:pPr>
        <w:spacing w:after="0" w:line="480" w:lineRule="auto"/>
        <w:textAlignment w:val="baseline"/>
        <w:rPr>
          <w:rFonts w:eastAsia="Times New Roman" w:cs="Arial"/>
          <w:color w:val="000000"/>
          <w:sz w:val="24"/>
          <w:szCs w:val="24"/>
        </w:rPr>
      </w:pPr>
      <w:r w:rsidRPr="00FE43F2">
        <w:rPr>
          <w:rFonts w:eastAsia="Times New Roman" w:cs="Arial"/>
          <w:color w:val="000000"/>
          <w:sz w:val="24"/>
          <w:szCs w:val="24"/>
        </w:rPr>
        <w:tab/>
      </w:r>
      <w:r w:rsidR="003D3D7A" w:rsidRPr="00FE43F2">
        <w:rPr>
          <w:rFonts w:eastAsia="Times New Roman" w:cs="Arial"/>
          <w:color w:val="000000"/>
          <w:sz w:val="24"/>
          <w:szCs w:val="24"/>
        </w:rPr>
        <w:t>The ten s</w:t>
      </w:r>
      <w:r w:rsidRPr="00FE43F2">
        <w:rPr>
          <w:rFonts w:eastAsia="Times New Roman" w:cs="Arial"/>
          <w:color w:val="000000"/>
          <w:sz w:val="24"/>
          <w:szCs w:val="24"/>
        </w:rPr>
        <w:t xml:space="preserve">tates with </w:t>
      </w:r>
      <w:r w:rsidR="003D3D7A" w:rsidRPr="00FE43F2">
        <w:rPr>
          <w:rFonts w:eastAsia="Times New Roman" w:cs="Arial"/>
          <w:color w:val="000000"/>
          <w:sz w:val="24"/>
          <w:szCs w:val="24"/>
        </w:rPr>
        <w:t xml:space="preserve">the </w:t>
      </w:r>
      <w:r w:rsidRPr="00FE43F2">
        <w:rPr>
          <w:rFonts w:eastAsia="Times New Roman" w:cs="Arial"/>
          <w:color w:val="000000"/>
          <w:sz w:val="24"/>
          <w:szCs w:val="24"/>
        </w:rPr>
        <w:t>highe</w:t>
      </w:r>
      <w:r w:rsidR="003D3D7A" w:rsidRPr="00FE43F2">
        <w:rPr>
          <w:rFonts w:eastAsia="Times New Roman" w:cs="Arial"/>
          <w:color w:val="000000"/>
          <w:sz w:val="24"/>
          <w:szCs w:val="24"/>
        </w:rPr>
        <w:t>st</w:t>
      </w:r>
      <w:r w:rsidR="00990615" w:rsidRPr="00FE43F2">
        <w:rPr>
          <w:rFonts w:eastAsia="Times New Roman" w:cs="Arial"/>
          <w:color w:val="000000"/>
          <w:sz w:val="24"/>
          <w:szCs w:val="24"/>
        </w:rPr>
        <w:t>-</w:t>
      </w:r>
      <w:r w:rsidRPr="00FE43F2">
        <w:rPr>
          <w:rFonts w:eastAsia="Times New Roman" w:cs="Arial"/>
          <w:color w:val="000000"/>
          <w:sz w:val="24"/>
          <w:szCs w:val="24"/>
        </w:rPr>
        <w:t>performing state systems</w:t>
      </w:r>
      <w:r w:rsidR="00055963" w:rsidRPr="00FE43F2">
        <w:rPr>
          <w:rFonts w:cs="Arial"/>
          <w:sz w:val="24"/>
          <w:szCs w:val="24"/>
        </w:rPr>
        <w:t xml:space="preserve"> in 2013 as evidenced by State Employment System Performance Composite Indicator</w:t>
      </w:r>
      <w:r w:rsidR="001E5C99" w:rsidRPr="00FE43F2">
        <w:rPr>
          <w:rFonts w:cs="Arial"/>
          <w:sz w:val="24"/>
          <w:szCs w:val="24"/>
        </w:rPr>
        <w:t xml:space="preserve"> scores</w:t>
      </w:r>
      <w:r w:rsidR="00A709A1" w:rsidRPr="00FE43F2">
        <w:rPr>
          <w:rFonts w:eastAsia="Times New Roman" w:cs="Arial"/>
          <w:color w:val="000000"/>
          <w:sz w:val="24"/>
          <w:szCs w:val="24"/>
        </w:rPr>
        <w:t>, i</w:t>
      </w:r>
      <w:r w:rsidR="00D3201A" w:rsidRPr="00FE43F2">
        <w:rPr>
          <w:rFonts w:eastAsia="Times New Roman" w:cs="Arial"/>
          <w:color w:val="000000"/>
          <w:sz w:val="24"/>
          <w:szCs w:val="24"/>
        </w:rPr>
        <w:t>n ranked</w:t>
      </w:r>
      <w:r w:rsidR="00A709A1" w:rsidRPr="00FE43F2">
        <w:rPr>
          <w:rFonts w:eastAsia="Times New Roman" w:cs="Arial"/>
          <w:color w:val="000000"/>
          <w:sz w:val="24"/>
          <w:szCs w:val="24"/>
        </w:rPr>
        <w:t xml:space="preserve"> order,</w:t>
      </w:r>
      <w:r w:rsidRPr="00FE43F2">
        <w:rPr>
          <w:rFonts w:eastAsia="Times New Roman" w:cs="Arial"/>
          <w:color w:val="000000"/>
          <w:sz w:val="24"/>
          <w:szCs w:val="24"/>
        </w:rPr>
        <w:t xml:space="preserve"> were Maryland, New Hampshire, Vermont, Oregon, Washington, Iowa, Oklahoma, South Dakota, Colorado, and Delaware</w:t>
      </w:r>
      <w:r w:rsidR="00956494" w:rsidRPr="00FE43F2">
        <w:rPr>
          <w:rFonts w:eastAsia="Times New Roman" w:cs="Arial"/>
          <w:color w:val="000000"/>
          <w:sz w:val="24"/>
          <w:szCs w:val="24"/>
        </w:rPr>
        <w:t xml:space="preserve"> (see Figure 2)</w:t>
      </w:r>
      <w:r w:rsidRPr="00FE43F2">
        <w:rPr>
          <w:rFonts w:eastAsia="Times New Roman" w:cs="Arial"/>
          <w:color w:val="000000"/>
          <w:sz w:val="24"/>
          <w:szCs w:val="24"/>
        </w:rPr>
        <w:t>. Six of the higher</w:t>
      </w:r>
      <w:r w:rsidR="000665FF" w:rsidRPr="00FE43F2">
        <w:rPr>
          <w:rFonts w:eastAsia="Times New Roman" w:cs="Arial"/>
          <w:color w:val="000000"/>
          <w:sz w:val="24"/>
          <w:szCs w:val="24"/>
        </w:rPr>
        <w:t>-</w:t>
      </w:r>
      <w:r w:rsidRPr="00FE43F2">
        <w:rPr>
          <w:rFonts w:eastAsia="Times New Roman" w:cs="Arial"/>
          <w:color w:val="000000"/>
          <w:sz w:val="24"/>
          <w:szCs w:val="24"/>
        </w:rPr>
        <w:t xml:space="preserve">performing states </w:t>
      </w:r>
      <w:r w:rsidR="00FE43F2">
        <w:rPr>
          <w:rFonts w:eastAsia="Times New Roman" w:cs="Arial"/>
          <w:color w:val="000000"/>
          <w:sz w:val="24"/>
          <w:szCs w:val="24"/>
        </w:rPr>
        <w:t>were top performers in the IDD system:</w:t>
      </w:r>
      <w:r w:rsidRPr="00FE43F2">
        <w:rPr>
          <w:rFonts w:eastAsia="Times New Roman" w:cs="Arial"/>
          <w:color w:val="000000"/>
          <w:sz w:val="24"/>
          <w:szCs w:val="24"/>
        </w:rPr>
        <w:t xml:space="preserve"> Maryland, New Hampshire, Vermont, Oregon, Washington, and Oklahoma. </w:t>
      </w:r>
      <w:r w:rsidR="00C5103D" w:rsidRPr="00FE43F2">
        <w:rPr>
          <w:rFonts w:eastAsia="Times New Roman" w:cs="Arial"/>
          <w:color w:val="000000"/>
          <w:sz w:val="24"/>
          <w:szCs w:val="24"/>
        </w:rPr>
        <w:t>D</w:t>
      </w:r>
      <w:r w:rsidR="00956494" w:rsidRPr="00FE43F2">
        <w:rPr>
          <w:rFonts w:eastAsia="Times New Roman" w:cs="Arial"/>
          <w:color w:val="000000"/>
          <w:sz w:val="24"/>
          <w:szCs w:val="24"/>
        </w:rPr>
        <w:t xml:space="preserve">ue to a weighting criteria developed through an expert review and ranking of systems’ indicators, states that had higher IDD system performance rose to the top of the list for the State Employment System Performance rankings. </w:t>
      </w:r>
      <w:r w:rsidRPr="00FE43F2">
        <w:rPr>
          <w:rFonts w:eastAsia="Times New Roman" w:cs="Arial"/>
          <w:color w:val="000000"/>
          <w:sz w:val="24"/>
          <w:szCs w:val="24"/>
        </w:rPr>
        <w:t xml:space="preserve">Four </w:t>
      </w:r>
      <w:r w:rsidR="001E5C99" w:rsidRPr="00FE43F2">
        <w:rPr>
          <w:rFonts w:eastAsia="Times New Roman" w:cs="Arial"/>
          <w:color w:val="000000"/>
          <w:sz w:val="24"/>
          <w:szCs w:val="24"/>
        </w:rPr>
        <w:t xml:space="preserve">of the 10 </w:t>
      </w:r>
      <w:r w:rsidR="00C5103D" w:rsidRPr="00FE43F2">
        <w:rPr>
          <w:rFonts w:eastAsia="Times New Roman" w:cs="Arial"/>
          <w:color w:val="000000"/>
          <w:sz w:val="24"/>
          <w:szCs w:val="24"/>
        </w:rPr>
        <w:t>higher-performing states</w:t>
      </w:r>
      <w:r w:rsidRPr="00FE43F2">
        <w:rPr>
          <w:rFonts w:eastAsia="Times New Roman" w:cs="Arial"/>
          <w:color w:val="000000"/>
          <w:sz w:val="24"/>
          <w:szCs w:val="24"/>
        </w:rPr>
        <w:t xml:space="preserve">, Maryland, </w:t>
      </w:r>
      <w:r w:rsidRPr="00FE43F2">
        <w:rPr>
          <w:rFonts w:eastAsia="Times New Roman" w:cs="Arial"/>
          <w:color w:val="000000"/>
          <w:sz w:val="24"/>
          <w:szCs w:val="24"/>
        </w:rPr>
        <w:lastRenderedPageBreak/>
        <w:t xml:space="preserve">South Dakota, Colorado, and Delaware, were in the top 10 in terms of VR system performance. Four of the </w:t>
      </w:r>
      <w:r w:rsidR="001E5C99" w:rsidRPr="00FE43F2">
        <w:rPr>
          <w:rFonts w:eastAsia="Times New Roman" w:cs="Arial"/>
          <w:color w:val="000000"/>
          <w:sz w:val="24"/>
          <w:szCs w:val="24"/>
        </w:rPr>
        <w:t xml:space="preserve">10 </w:t>
      </w:r>
      <w:r w:rsidRPr="00FE43F2">
        <w:rPr>
          <w:rFonts w:eastAsia="Times New Roman" w:cs="Arial"/>
          <w:color w:val="000000"/>
          <w:sz w:val="24"/>
          <w:szCs w:val="24"/>
        </w:rPr>
        <w:t>higher</w:t>
      </w:r>
      <w:r w:rsidR="00EC6BB2" w:rsidRPr="00FE43F2">
        <w:rPr>
          <w:rFonts w:eastAsia="Times New Roman" w:cs="Arial"/>
          <w:color w:val="000000"/>
          <w:sz w:val="24"/>
          <w:szCs w:val="24"/>
        </w:rPr>
        <w:t>-</w:t>
      </w:r>
      <w:r w:rsidRPr="00FE43F2">
        <w:rPr>
          <w:rFonts w:eastAsia="Times New Roman" w:cs="Arial"/>
          <w:color w:val="000000"/>
          <w:sz w:val="24"/>
          <w:szCs w:val="24"/>
        </w:rPr>
        <w:t>performing states were in the top 10 in terms of education system performance: New Hampshire, Iowa, South Dakota and Colorado.</w:t>
      </w:r>
      <w:r w:rsidR="00F5114F" w:rsidRPr="00FE43F2">
        <w:rPr>
          <w:rFonts w:eastAsia="Times New Roman" w:cs="Arial"/>
          <w:color w:val="000000"/>
          <w:sz w:val="24"/>
          <w:szCs w:val="24"/>
        </w:rPr>
        <w:t xml:space="preserve"> </w:t>
      </w:r>
      <w:r w:rsidR="00A07484" w:rsidRPr="00FE43F2">
        <w:rPr>
          <w:rFonts w:eastAsia="Times New Roman" w:cs="Arial"/>
          <w:color w:val="000000"/>
          <w:sz w:val="24"/>
          <w:szCs w:val="24"/>
        </w:rPr>
        <w:t xml:space="preserve">No single state scored in the top 10 in all categories. </w:t>
      </w:r>
      <w:r w:rsidR="00C5103D" w:rsidRPr="00FE43F2">
        <w:rPr>
          <w:rFonts w:eastAsia="Times New Roman" w:cs="Arial"/>
          <w:color w:val="000000"/>
          <w:sz w:val="24"/>
          <w:szCs w:val="24"/>
        </w:rPr>
        <w:t>Next</w:t>
      </w:r>
      <w:r w:rsidR="00A07484" w:rsidRPr="00FE43F2">
        <w:rPr>
          <w:rFonts w:eastAsia="Times New Roman" w:cs="Arial"/>
          <w:color w:val="000000"/>
          <w:sz w:val="24"/>
          <w:szCs w:val="24"/>
        </w:rPr>
        <w:t xml:space="preserve">, </w:t>
      </w:r>
      <w:r w:rsidR="00A07484" w:rsidRPr="00FE43F2">
        <w:rPr>
          <w:rFonts w:cs="Arial"/>
          <w:sz w:val="24"/>
          <w:szCs w:val="24"/>
        </w:rPr>
        <w:t xml:space="preserve">researchers are creating a multivariate analytical model to explore the various inputs and attributes that contribute to state employment system performance to understand why some states showed indications of higher performance. </w:t>
      </w:r>
    </w:p>
    <w:p w14:paraId="457D4360" w14:textId="43751F2D" w:rsidR="00A07484" w:rsidRPr="00FE43F2" w:rsidRDefault="00C5103D" w:rsidP="00C5103D">
      <w:pPr>
        <w:spacing w:after="0" w:line="480" w:lineRule="auto"/>
        <w:textAlignment w:val="baseline"/>
        <w:rPr>
          <w:rFonts w:cs="Arial"/>
          <w:sz w:val="24"/>
          <w:szCs w:val="24"/>
        </w:rPr>
      </w:pPr>
      <w:r w:rsidRPr="00FE43F2">
        <w:rPr>
          <w:rFonts w:eastAsia="Times New Roman" w:cs="Arial"/>
          <w:color w:val="000000"/>
          <w:sz w:val="24"/>
          <w:szCs w:val="24"/>
        </w:rPr>
        <w:t>F</w:t>
      </w:r>
      <w:r w:rsidR="00956494" w:rsidRPr="00FE43F2">
        <w:rPr>
          <w:rFonts w:eastAsia="Times New Roman" w:cs="Arial"/>
          <w:color w:val="000000"/>
          <w:sz w:val="24"/>
          <w:szCs w:val="24"/>
        </w:rPr>
        <w:t>igure 2.</w:t>
      </w:r>
      <w:r w:rsidR="00FE43F2">
        <w:rPr>
          <w:rFonts w:eastAsia="Times New Roman" w:cs="Arial"/>
          <w:color w:val="000000"/>
          <w:sz w:val="24"/>
          <w:szCs w:val="24"/>
        </w:rPr>
        <w:t xml:space="preserve"> State Employment Systems Composite Indicator rankings </w:t>
      </w:r>
      <w:r w:rsidR="00956494" w:rsidRPr="00FE43F2">
        <w:rPr>
          <w:rFonts w:eastAsia="Times New Roman" w:cs="Arial"/>
          <w:color w:val="000000"/>
          <w:sz w:val="24"/>
          <w:szCs w:val="24"/>
        </w:rPr>
        <w:t xml:space="preserve"> </w:t>
      </w:r>
    </w:p>
    <w:p w14:paraId="04A911F6" w14:textId="58499CB5" w:rsidR="00A709A1" w:rsidRPr="00FE43F2" w:rsidRDefault="00BE6916" w:rsidP="00B951AC">
      <w:pPr>
        <w:spacing w:after="0" w:line="480" w:lineRule="auto"/>
        <w:textAlignment w:val="baseline"/>
        <w:rPr>
          <w:rFonts w:eastAsia="Times New Roman" w:cs="Arial"/>
          <w:color w:val="000000"/>
          <w:sz w:val="24"/>
          <w:szCs w:val="24"/>
        </w:rPr>
      </w:pPr>
      <w:r w:rsidRPr="00FE43F2">
        <w:rPr>
          <w:rFonts w:eastAsia="Times New Roman" w:cs="Arial"/>
          <w:noProof/>
          <w:color w:val="000000"/>
          <w:sz w:val="24"/>
          <w:szCs w:val="24"/>
        </w:rPr>
        <w:drawing>
          <wp:anchor distT="0" distB="0" distL="114300" distR="114300" simplePos="0" relativeHeight="251658240" behindDoc="0" locked="0" layoutInCell="1" allowOverlap="1" wp14:anchorId="229C83EF" wp14:editId="357C9AFE">
            <wp:simplePos x="0" y="0"/>
            <wp:positionH relativeFrom="page">
              <wp:align>right</wp:align>
            </wp:positionH>
            <wp:positionV relativeFrom="paragraph">
              <wp:posOffset>0</wp:posOffset>
            </wp:positionV>
            <wp:extent cx="7715250" cy="2905125"/>
            <wp:effectExtent l="38100" t="0" r="1905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p>
    <w:p w14:paraId="6522AF74" w14:textId="77777777" w:rsidR="00F26DB3" w:rsidRPr="00FE43F2" w:rsidRDefault="00E70DE7">
      <w:pPr>
        <w:spacing w:after="0" w:line="480" w:lineRule="auto"/>
        <w:textAlignment w:val="baseline"/>
        <w:rPr>
          <w:rFonts w:eastAsia="Times New Roman" w:cs="Arial"/>
          <w:i/>
          <w:color w:val="000000"/>
          <w:sz w:val="24"/>
          <w:szCs w:val="24"/>
        </w:rPr>
      </w:pPr>
      <w:r w:rsidRPr="00FE43F2">
        <w:rPr>
          <w:rFonts w:eastAsia="Times New Roman" w:cs="Arial"/>
          <w:i/>
          <w:color w:val="000000"/>
          <w:sz w:val="24"/>
          <w:szCs w:val="24"/>
        </w:rPr>
        <w:t>Case Studies of Higher Performing States</w:t>
      </w:r>
    </w:p>
    <w:p w14:paraId="7EB1F1F8" w14:textId="77777777" w:rsidR="00CA0CAB" w:rsidRPr="00FE43F2" w:rsidRDefault="00A07484" w:rsidP="00B85C26">
      <w:pPr>
        <w:pStyle w:val="Singlespace"/>
        <w:spacing w:before="60" w:line="480" w:lineRule="auto"/>
        <w:rPr>
          <w:rFonts w:asciiTheme="minorHAnsi" w:hAnsiTheme="minorHAnsi" w:cs="Arial"/>
        </w:rPr>
      </w:pPr>
      <w:r w:rsidRPr="00FE43F2">
        <w:rPr>
          <w:rFonts w:asciiTheme="minorHAnsi" w:eastAsia="Times New Roman" w:hAnsiTheme="minorHAnsi" w:cs="Arial"/>
        </w:rPr>
        <w:t>T</w:t>
      </w:r>
      <w:r w:rsidR="001A3E3A" w:rsidRPr="00FE43F2">
        <w:rPr>
          <w:rFonts w:asciiTheme="minorHAnsi" w:eastAsia="Times New Roman" w:hAnsiTheme="minorHAnsi" w:cs="Arial"/>
        </w:rPr>
        <w:t>o understand w</w:t>
      </w:r>
      <w:r w:rsidR="00F26DB3" w:rsidRPr="00FE43F2">
        <w:rPr>
          <w:rFonts w:asciiTheme="minorHAnsi" w:eastAsia="Times New Roman" w:hAnsiTheme="minorHAnsi" w:cs="Arial"/>
        </w:rPr>
        <w:t>hat collaborative interagency policies and practices are being implemented in states with relatively high ra</w:t>
      </w:r>
      <w:r w:rsidRPr="00FE43F2">
        <w:rPr>
          <w:rFonts w:asciiTheme="minorHAnsi" w:eastAsia="Times New Roman" w:hAnsiTheme="minorHAnsi" w:cs="Arial"/>
        </w:rPr>
        <w:t>nkings in integrated employment</w:t>
      </w:r>
      <w:r w:rsidR="00F26DB3" w:rsidRPr="00FE43F2">
        <w:rPr>
          <w:rFonts w:asciiTheme="minorHAnsi" w:eastAsia="Times New Roman" w:hAnsiTheme="minorHAnsi" w:cs="Arial"/>
        </w:rPr>
        <w:t xml:space="preserve"> and </w:t>
      </w:r>
      <w:r w:rsidR="001A3E3A" w:rsidRPr="00FE43F2">
        <w:rPr>
          <w:rFonts w:asciiTheme="minorHAnsi" w:eastAsia="Times New Roman" w:hAnsiTheme="minorHAnsi" w:cs="Arial"/>
        </w:rPr>
        <w:t>to contribute to the evolution of the research-based Higher</w:t>
      </w:r>
      <w:r w:rsidR="005A7492" w:rsidRPr="00FE43F2">
        <w:rPr>
          <w:rFonts w:asciiTheme="minorHAnsi" w:eastAsia="Times New Roman" w:hAnsiTheme="minorHAnsi" w:cs="Arial"/>
        </w:rPr>
        <w:t>-</w:t>
      </w:r>
      <w:r w:rsidR="001A3E3A" w:rsidRPr="00FE43F2">
        <w:rPr>
          <w:rFonts w:asciiTheme="minorHAnsi" w:eastAsia="Times New Roman" w:hAnsiTheme="minorHAnsi" w:cs="Arial"/>
        </w:rPr>
        <w:t>Performing States Employment Framewo</w:t>
      </w:r>
      <w:r w:rsidR="00BC5D14" w:rsidRPr="00FE43F2">
        <w:rPr>
          <w:rFonts w:asciiTheme="minorHAnsi" w:eastAsia="Times New Roman" w:hAnsiTheme="minorHAnsi" w:cs="Arial"/>
        </w:rPr>
        <w:t xml:space="preserve">rk </w:t>
      </w:r>
      <w:r w:rsidRPr="00FE43F2">
        <w:rPr>
          <w:rFonts w:asciiTheme="minorHAnsi" w:eastAsia="Times New Roman" w:hAnsiTheme="minorHAnsi" w:cs="Arial"/>
        </w:rPr>
        <w:t xml:space="preserve">a case study of Maryland, the state identified as having achieved the highest ranking in the composite indicator analysis, was conducted. </w:t>
      </w:r>
    </w:p>
    <w:p w14:paraId="13F789F7" w14:textId="649B39CF" w:rsidR="003F1FFA" w:rsidRPr="00B951AC" w:rsidRDefault="00C5103D" w:rsidP="00B951AC">
      <w:pPr>
        <w:pStyle w:val="Singlespace"/>
        <w:spacing w:before="60" w:line="480" w:lineRule="auto"/>
        <w:rPr>
          <w:rFonts w:asciiTheme="minorHAnsi" w:eastAsia="Times New Roman" w:hAnsiTheme="minorHAnsi" w:cs="Arial"/>
        </w:rPr>
      </w:pPr>
      <w:r w:rsidRPr="00FE43F2">
        <w:rPr>
          <w:rFonts w:asciiTheme="minorHAnsi" w:eastAsia="Times New Roman" w:hAnsiTheme="minorHAnsi" w:cs="Arial"/>
        </w:rPr>
        <w:lastRenderedPageBreak/>
        <w:t xml:space="preserve">     </w:t>
      </w:r>
      <w:r w:rsidR="00A07484" w:rsidRPr="00FE43F2">
        <w:rPr>
          <w:rFonts w:asciiTheme="minorHAnsi" w:eastAsia="Times New Roman" w:hAnsiTheme="minorHAnsi" w:cs="Arial"/>
        </w:rPr>
        <w:t>Preliminary</w:t>
      </w:r>
      <w:r w:rsidR="00095E05" w:rsidRPr="00FE43F2">
        <w:rPr>
          <w:rFonts w:asciiTheme="minorHAnsi" w:eastAsia="Times New Roman" w:hAnsiTheme="minorHAnsi" w:cs="Arial"/>
        </w:rPr>
        <w:t xml:space="preserve"> findings suggest that Maryland</w:t>
      </w:r>
      <w:r w:rsidR="00D20984" w:rsidRPr="00FE43F2">
        <w:rPr>
          <w:rFonts w:asciiTheme="minorHAnsi" w:eastAsia="Times New Roman" w:hAnsiTheme="minorHAnsi" w:cs="Arial"/>
        </w:rPr>
        <w:t>’s</w:t>
      </w:r>
      <w:r w:rsidR="00095E05" w:rsidRPr="00FE43F2">
        <w:rPr>
          <w:rFonts w:asciiTheme="minorHAnsi" w:eastAsia="Times New Roman" w:hAnsiTheme="minorHAnsi" w:cs="Arial"/>
        </w:rPr>
        <w:t xml:space="preserve"> employment system</w:t>
      </w:r>
      <w:r w:rsidR="00D20984" w:rsidRPr="00FE43F2">
        <w:rPr>
          <w:rFonts w:asciiTheme="minorHAnsi" w:eastAsia="Times New Roman" w:hAnsiTheme="minorHAnsi" w:cs="Arial"/>
        </w:rPr>
        <w:t xml:space="preserve"> </w:t>
      </w:r>
      <w:r w:rsidR="00CA0CAB" w:rsidRPr="00FE43F2">
        <w:rPr>
          <w:rFonts w:asciiTheme="minorHAnsi" w:eastAsia="Times New Roman" w:hAnsiTheme="minorHAnsi" w:cs="Arial"/>
        </w:rPr>
        <w:t>emphasizes</w:t>
      </w:r>
      <w:r w:rsidR="00095E05" w:rsidRPr="00FE43F2">
        <w:rPr>
          <w:rFonts w:asciiTheme="minorHAnsi" w:eastAsia="Times New Roman" w:hAnsiTheme="minorHAnsi" w:cs="Arial"/>
        </w:rPr>
        <w:t xml:space="preserve"> collaboration across agencies, within agencies, and among individuals</w:t>
      </w:r>
      <w:r w:rsidRPr="00FE43F2">
        <w:rPr>
          <w:rFonts w:asciiTheme="minorHAnsi" w:eastAsia="Times New Roman" w:hAnsiTheme="minorHAnsi" w:cs="Arial"/>
        </w:rPr>
        <w:t xml:space="preserve"> </w:t>
      </w:r>
      <w:r w:rsidR="00095E05" w:rsidRPr="00FE43F2">
        <w:rPr>
          <w:rFonts w:asciiTheme="minorHAnsi" w:eastAsia="Times New Roman" w:hAnsiTheme="minorHAnsi" w:cs="Arial"/>
        </w:rPr>
        <w:t>that keep</w:t>
      </w:r>
      <w:r w:rsidRPr="00FE43F2">
        <w:rPr>
          <w:rFonts w:asciiTheme="minorHAnsi" w:eastAsia="Times New Roman" w:hAnsiTheme="minorHAnsi" w:cs="Arial"/>
        </w:rPr>
        <w:t>s</w:t>
      </w:r>
      <w:r w:rsidR="00095E05" w:rsidRPr="00FE43F2">
        <w:rPr>
          <w:rFonts w:asciiTheme="minorHAnsi" w:eastAsia="Times New Roman" w:hAnsiTheme="minorHAnsi" w:cs="Arial"/>
        </w:rPr>
        <w:t xml:space="preserve"> employment outcomes as a key focus in the system.</w:t>
      </w:r>
      <w:r w:rsidRPr="00FE43F2">
        <w:rPr>
          <w:rFonts w:asciiTheme="minorHAnsi" w:eastAsia="Times New Roman" w:hAnsiTheme="minorHAnsi" w:cs="Arial"/>
        </w:rPr>
        <w:t xml:space="preserve"> </w:t>
      </w:r>
      <w:r w:rsidR="003C1570" w:rsidRPr="00FE43F2">
        <w:rPr>
          <w:rFonts w:asciiTheme="minorHAnsi" w:eastAsia="Times New Roman" w:hAnsiTheme="minorHAnsi" w:cs="Arial"/>
        </w:rPr>
        <w:t>Success over the long-term depends on a cadre of stakeholders</w:t>
      </w:r>
      <w:r w:rsidRPr="00FE43F2">
        <w:rPr>
          <w:rFonts w:asciiTheme="minorHAnsi" w:eastAsia="Times New Roman" w:hAnsiTheme="minorHAnsi" w:cs="Arial"/>
        </w:rPr>
        <w:t xml:space="preserve"> and their personal relationships and commitment to employment. In Maryland, leadership seemed to be</w:t>
      </w:r>
      <w:r w:rsidR="003C1570" w:rsidRPr="00FE43F2">
        <w:rPr>
          <w:rFonts w:asciiTheme="minorHAnsi" w:eastAsia="Times New Roman" w:hAnsiTheme="minorHAnsi" w:cs="Arial"/>
        </w:rPr>
        <w:t xml:space="preserve"> most effective when distributed across multiple levels of responsibility</w:t>
      </w:r>
      <w:r w:rsidRPr="00FE43F2">
        <w:rPr>
          <w:rFonts w:asciiTheme="minorHAnsi" w:eastAsia="Times New Roman" w:hAnsiTheme="minorHAnsi" w:cs="Arial"/>
        </w:rPr>
        <w:t>. Finally, c</w:t>
      </w:r>
      <w:r w:rsidR="003C1570" w:rsidRPr="00FE43F2">
        <w:rPr>
          <w:rFonts w:asciiTheme="minorHAnsi" w:eastAsia="Times New Roman" w:hAnsiTheme="minorHAnsi" w:cs="Arial"/>
        </w:rPr>
        <w:t>onsistent allocation of funds for long-term services for yo</w:t>
      </w:r>
      <w:r w:rsidRPr="00FE43F2">
        <w:rPr>
          <w:rFonts w:asciiTheme="minorHAnsi" w:eastAsia="Times New Roman" w:hAnsiTheme="minorHAnsi" w:cs="Arial"/>
        </w:rPr>
        <w:t>uth exiting schools is critical and has cemented</w:t>
      </w:r>
      <w:r w:rsidR="003C1570" w:rsidRPr="00FE43F2">
        <w:rPr>
          <w:rFonts w:asciiTheme="minorHAnsi" w:eastAsia="Times New Roman" w:hAnsiTheme="minorHAnsi" w:cs="Arial"/>
        </w:rPr>
        <w:t xml:space="preserve"> expectation for collaboration between school and adult service systems. </w:t>
      </w:r>
      <w:r w:rsidR="00E94375" w:rsidRPr="00FE43F2">
        <w:rPr>
          <w:rFonts w:asciiTheme="minorHAnsi" w:eastAsia="Times New Roman" w:hAnsiTheme="minorHAnsi" w:cs="Arial"/>
        </w:rPr>
        <w:t>Further analysis will focus on communication, culture, and the more granular elements of c</w:t>
      </w:r>
      <w:r w:rsidR="0026024A" w:rsidRPr="00FE43F2">
        <w:rPr>
          <w:rFonts w:asciiTheme="minorHAnsi" w:eastAsia="Times New Roman" w:hAnsiTheme="minorHAnsi" w:cs="Arial"/>
        </w:rPr>
        <w:t xml:space="preserve">ollaboration within the system. </w:t>
      </w:r>
    </w:p>
    <w:p w14:paraId="1A748D11" w14:textId="77777777" w:rsidR="00095E05" w:rsidRPr="00FE43F2" w:rsidRDefault="00095E05" w:rsidP="00CA6D73">
      <w:pPr>
        <w:spacing w:after="0" w:line="480" w:lineRule="auto"/>
        <w:textAlignment w:val="baseline"/>
        <w:rPr>
          <w:rFonts w:eastAsia="Times New Roman" w:cs="Arial"/>
          <w:i/>
          <w:color w:val="000000"/>
          <w:sz w:val="24"/>
          <w:szCs w:val="24"/>
        </w:rPr>
      </w:pPr>
      <w:r w:rsidRPr="00FE43F2">
        <w:rPr>
          <w:rFonts w:eastAsia="Times New Roman" w:cs="Arial"/>
          <w:i/>
          <w:color w:val="000000"/>
          <w:sz w:val="24"/>
          <w:szCs w:val="24"/>
        </w:rPr>
        <w:t xml:space="preserve">Diving deeper: Highlights from policy analyses </w:t>
      </w:r>
    </w:p>
    <w:p w14:paraId="045491D5" w14:textId="5EC8FF32" w:rsidR="00837323" w:rsidRPr="00FE43F2" w:rsidRDefault="00095E05" w:rsidP="00CA6D73">
      <w:pPr>
        <w:autoSpaceDE w:val="0"/>
        <w:autoSpaceDN w:val="0"/>
        <w:adjustRightInd w:val="0"/>
        <w:spacing w:after="0" w:line="480" w:lineRule="auto"/>
        <w:contextualSpacing/>
        <w:rPr>
          <w:rFonts w:cs="Arial"/>
          <w:iCs/>
          <w:sz w:val="24"/>
          <w:szCs w:val="24"/>
        </w:rPr>
      </w:pPr>
      <w:r w:rsidRPr="00FE43F2">
        <w:rPr>
          <w:rFonts w:eastAsia="Times New Roman" w:cs="Arial"/>
          <w:color w:val="000000"/>
          <w:sz w:val="24"/>
          <w:szCs w:val="24"/>
        </w:rPr>
        <w:t xml:space="preserve">RRTC </w:t>
      </w:r>
      <w:r w:rsidR="00C5103D" w:rsidRPr="00FE43F2">
        <w:rPr>
          <w:rFonts w:eastAsia="Times New Roman" w:cs="Arial"/>
          <w:color w:val="000000"/>
          <w:sz w:val="24"/>
          <w:szCs w:val="24"/>
        </w:rPr>
        <w:t>staff and partners conducted</w:t>
      </w:r>
      <w:r w:rsidRPr="00FE43F2">
        <w:rPr>
          <w:rFonts w:eastAsia="Times New Roman" w:cs="Arial"/>
          <w:color w:val="000000"/>
          <w:sz w:val="24"/>
          <w:szCs w:val="24"/>
        </w:rPr>
        <w:t xml:space="preserve"> in-depth policy analyses of </w:t>
      </w:r>
      <w:r w:rsidRPr="00FE43F2">
        <w:rPr>
          <w:rFonts w:cs="Arial"/>
          <w:iCs/>
          <w:sz w:val="24"/>
          <w:szCs w:val="24"/>
        </w:rPr>
        <w:t>priority and emerging policy topics that impact employment outcomes and services for individuals served by state IDD agencies</w:t>
      </w:r>
      <w:r w:rsidR="003F1FFA" w:rsidRPr="00FE43F2">
        <w:rPr>
          <w:rFonts w:cs="Arial"/>
          <w:iCs/>
          <w:sz w:val="24"/>
          <w:szCs w:val="24"/>
        </w:rPr>
        <w:t xml:space="preserve">: 1) state application of </w:t>
      </w:r>
      <w:r w:rsidR="003F1FFA" w:rsidRPr="00FE43F2">
        <w:rPr>
          <w:rFonts w:eastAsia="Times New Roman" w:cs="Arial"/>
          <w:color w:val="000000"/>
          <w:sz w:val="24"/>
          <w:szCs w:val="24"/>
        </w:rPr>
        <w:t>2011 CMS guidance regarding the intent and outcome of pre-vocational services</w:t>
      </w:r>
      <w:r w:rsidR="003F1FFA" w:rsidRPr="00FE43F2">
        <w:rPr>
          <w:rFonts w:cs="Arial"/>
          <w:iCs/>
          <w:sz w:val="24"/>
          <w:szCs w:val="24"/>
        </w:rPr>
        <w:t xml:space="preserve">; 2) </w:t>
      </w:r>
      <w:r w:rsidR="00CA6D73" w:rsidRPr="00FE43F2">
        <w:rPr>
          <w:rFonts w:cs="Arial"/>
          <w:iCs/>
          <w:sz w:val="24"/>
          <w:szCs w:val="24"/>
        </w:rPr>
        <w:t>developments and potential strategies to embed employment as a priority for support coordination/ case management in service plan developmen</w:t>
      </w:r>
      <w:r w:rsidR="003F1FFA" w:rsidRPr="00FE43F2">
        <w:rPr>
          <w:rFonts w:cs="Arial"/>
          <w:iCs/>
          <w:sz w:val="24"/>
          <w:szCs w:val="24"/>
        </w:rPr>
        <w:t xml:space="preserve">t, implementation and follow-up; and 3) </w:t>
      </w:r>
      <w:r w:rsidR="003F1FFA" w:rsidRPr="00FE43F2">
        <w:rPr>
          <w:rFonts w:eastAsia="Times New Roman" w:cs="Arial"/>
          <w:color w:val="000000"/>
          <w:sz w:val="24"/>
          <w:szCs w:val="24"/>
        </w:rPr>
        <w:t>multi-system collaboration</w:t>
      </w:r>
      <w:r w:rsidR="00C5103D" w:rsidRPr="00FE43F2">
        <w:rPr>
          <w:rFonts w:eastAsia="Times New Roman" w:cs="Arial"/>
          <w:color w:val="000000"/>
          <w:sz w:val="24"/>
          <w:szCs w:val="24"/>
        </w:rPr>
        <w:t>, seamless transition, and support for</w:t>
      </w:r>
      <w:r w:rsidR="003F1FFA" w:rsidRPr="00FE43F2">
        <w:rPr>
          <w:rFonts w:eastAsia="Times New Roman" w:cs="Arial"/>
          <w:color w:val="000000"/>
          <w:sz w:val="24"/>
          <w:szCs w:val="24"/>
        </w:rPr>
        <w:t xml:space="preserve"> individuals across the lifespan</w:t>
      </w:r>
      <w:r w:rsidR="00594277" w:rsidRPr="00FE43F2">
        <w:rPr>
          <w:rFonts w:eastAsia="Times New Roman" w:cs="Arial"/>
          <w:color w:val="000000"/>
          <w:sz w:val="24"/>
          <w:szCs w:val="24"/>
        </w:rPr>
        <w:t xml:space="preserve"> (in development)</w:t>
      </w:r>
      <w:r w:rsidR="003F1FFA" w:rsidRPr="00FE43F2">
        <w:rPr>
          <w:rFonts w:eastAsia="Times New Roman" w:cs="Arial"/>
          <w:color w:val="000000"/>
          <w:sz w:val="24"/>
          <w:szCs w:val="24"/>
        </w:rPr>
        <w:t xml:space="preserve">. </w:t>
      </w:r>
      <w:r w:rsidR="003F1FFA" w:rsidRPr="00FE43F2">
        <w:rPr>
          <w:rFonts w:cs="Arial"/>
          <w:iCs/>
          <w:sz w:val="24"/>
          <w:szCs w:val="24"/>
        </w:rPr>
        <w:t xml:space="preserve"> </w:t>
      </w:r>
    </w:p>
    <w:p w14:paraId="3B6B44E3" w14:textId="7D192684" w:rsidR="00AB50DB" w:rsidRPr="00FE43F2" w:rsidRDefault="003F1FFA" w:rsidP="00103B30">
      <w:pPr>
        <w:spacing w:after="0" w:line="480" w:lineRule="auto"/>
        <w:ind w:firstLine="720"/>
        <w:textAlignment w:val="baseline"/>
        <w:rPr>
          <w:rFonts w:eastAsia="Times New Roman" w:cs="Arial"/>
          <w:color w:val="000000"/>
          <w:sz w:val="24"/>
          <w:szCs w:val="24"/>
        </w:rPr>
      </w:pPr>
      <w:r w:rsidRPr="00FE43F2">
        <w:rPr>
          <w:rFonts w:eastAsia="Times New Roman" w:cs="Arial"/>
          <w:color w:val="000000"/>
          <w:sz w:val="24"/>
          <w:szCs w:val="24"/>
        </w:rPr>
        <w:t>Policy analysis 1 examined state application of 2011 CMS guidance, considering</w:t>
      </w:r>
      <w:r w:rsidR="00837323" w:rsidRPr="00FE43F2">
        <w:rPr>
          <w:rFonts w:eastAsia="Times New Roman" w:cs="Arial"/>
          <w:color w:val="000000"/>
          <w:sz w:val="24"/>
          <w:szCs w:val="24"/>
        </w:rPr>
        <w:t xml:space="preserve"> findings</w:t>
      </w:r>
      <w:r w:rsidR="00B951AC">
        <w:rPr>
          <w:rFonts w:eastAsia="Times New Roman" w:cs="Arial"/>
          <w:color w:val="000000"/>
          <w:sz w:val="24"/>
          <w:szCs w:val="24"/>
        </w:rPr>
        <w:t xml:space="preserve"> from CO, NJ, and VT,</w:t>
      </w:r>
      <w:r w:rsidR="00AB50DB" w:rsidRPr="00FE43F2">
        <w:rPr>
          <w:rFonts w:eastAsia="Times New Roman" w:cs="Arial"/>
          <w:color w:val="000000"/>
          <w:sz w:val="24"/>
          <w:szCs w:val="24"/>
        </w:rPr>
        <w:t xml:space="preserve"> </w:t>
      </w:r>
      <w:r w:rsidR="00837323" w:rsidRPr="00FE43F2">
        <w:rPr>
          <w:rFonts w:eastAsia="Times New Roman" w:cs="Arial"/>
          <w:color w:val="000000"/>
          <w:sz w:val="24"/>
          <w:szCs w:val="24"/>
        </w:rPr>
        <w:t xml:space="preserve">where </w:t>
      </w:r>
      <w:r w:rsidR="00AB50DB" w:rsidRPr="00FE43F2">
        <w:rPr>
          <w:rFonts w:eastAsia="Times New Roman" w:cs="Arial"/>
          <w:color w:val="000000"/>
          <w:sz w:val="24"/>
          <w:szCs w:val="24"/>
        </w:rPr>
        <w:t>themes emerge</w:t>
      </w:r>
      <w:r w:rsidR="00480D13" w:rsidRPr="00FE43F2">
        <w:rPr>
          <w:rFonts w:eastAsia="Times New Roman" w:cs="Arial"/>
          <w:color w:val="000000"/>
          <w:sz w:val="24"/>
          <w:szCs w:val="24"/>
        </w:rPr>
        <w:t>d</w:t>
      </w:r>
      <w:r w:rsidR="00AB50DB" w:rsidRPr="00FE43F2">
        <w:rPr>
          <w:rFonts w:eastAsia="Times New Roman" w:cs="Arial"/>
          <w:color w:val="000000"/>
          <w:sz w:val="24"/>
          <w:szCs w:val="24"/>
        </w:rPr>
        <w:t xml:space="preserve"> in the policies, practices</w:t>
      </w:r>
      <w:r w:rsidR="009027A8" w:rsidRPr="00FE43F2">
        <w:rPr>
          <w:rFonts w:eastAsia="Times New Roman" w:cs="Arial"/>
          <w:color w:val="000000"/>
          <w:sz w:val="24"/>
          <w:szCs w:val="24"/>
        </w:rPr>
        <w:t>,</w:t>
      </w:r>
      <w:r w:rsidR="00AB50DB" w:rsidRPr="00FE43F2">
        <w:rPr>
          <w:rFonts w:eastAsia="Times New Roman" w:cs="Arial"/>
          <w:color w:val="000000"/>
          <w:sz w:val="24"/>
          <w:szCs w:val="24"/>
        </w:rPr>
        <w:t xml:space="preserve"> and strategies being u</w:t>
      </w:r>
      <w:r w:rsidR="009027A8" w:rsidRPr="00FE43F2">
        <w:rPr>
          <w:rFonts w:eastAsia="Times New Roman" w:cs="Arial"/>
          <w:color w:val="000000"/>
          <w:sz w:val="24"/>
          <w:szCs w:val="24"/>
        </w:rPr>
        <w:t>s</w:t>
      </w:r>
      <w:r w:rsidR="00AB50DB" w:rsidRPr="00FE43F2">
        <w:rPr>
          <w:rFonts w:eastAsia="Times New Roman" w:cs="Arial"/>
          <w:color w:val="000000"/>
          <w:sz w:val="24"/>
          <w:szCs w:val="24"/>
        </w:rPr>
        <w:t>ed to increase integrated employment. Each state demonstrate</w:t>
      </w:r>
      <w:r w:rsidR="00480D13" w:rsidRPr="00FE43F2">
        <w:rPr>
          <w:rFonts w:eastAsia="Times New Roman" w:cs="Arial"/>
          <w:color w:val="000000"/>
          <w:sz w:val="24"/>
          <w:szCs w:val="24"/>
        </w:rPr>
        <w:t>d</w:t>
      </w:r>
      <w:r w:rsidR="00AB50DB" w:rsidRPr="00FE43F2">
        <w:rPr>
          <w:rFonts w:eastAsia="Times New Roman" w:cs="Arial"/>
          <w:color w:val="000000"/>
          <w:sz w:val="24"/>
          <w:szCs w:val="24"/>
        </w:rPr>
        <w:t xml:space="preserve"> strong leadership</w:t>
      </w:r>
      <w:r w:rsidRPr="00FE43F2">
        <w:rPr>
          <w:rFonts w:eastAsia="Times New Roman" w:cs="Arial"/>
          <w:color w:val="000000"/>
          <w:sz w:val="24"/>
          <w:szCs w:val="24"/>
        </w:rPr>
        <w:t xml:space="preserve">, evident through setting values and direction, making and communicating commitments, focusing on collaborative action, and creating systemic change supporting employment as a priority. </w:t>
      </w:r>
      <w:r w:rsidRPr="00FE43F2">
        <w:rPr>
          <w:rFonts w:eastAsia="Times New Roman" w:cs="Arial"/>
          <w:color w:val="000000"/>
          <w:sz w:val="24"/>
          <w:szCs w:val="24"/>
        </w:rPr>
        <w:lastRenderedPageBreak/>
        <w:t>Additionally, these states</w:t>
      </w:r>
      <w:r w:rsidR="00AB50DB" w:rsidRPr="00FE43F2">
        <w:rPr>
          <w:rFonts w:eastAsia="Times New Roman" w:cs="Arial"/>
          <w:color w:val="000000"/>
          <w:sz w:val="24"/>
          <w:szCs w:val="24"/>
        </w:rPr>
        <w:t xml:space="preserve"> promote</w:t>
      </w:r>
      <w:r w:rsidR="00480D13" w:rsidRPr="00FE43F2">
        <w:rPr>
          <w:rFonts w:eastAsia="Times New Roman" w:cs="Arial"/>
          <w:color w:val="000000"/>
          <w:sz w:val="24"/>
          <w:szCs w:val="24"/>
        </w:rPr>
        <w:t>d</w:t>
      </w:r>
      <w:r w:rsidR="00AB50DB" w:rsidRPr="00FE43F2">
        <w:rPr>
          <w:rFonts w:eastAsia="Times New Roman" w:cs="Arial"/>
          <w:color w:val="000000"/>
          <w:sz w:val="24"/>
          <w:szCs w:val="24"/>
        </w:rPr>
        <w:t xml:space="preserve"> the value </w:t>
      </w:r>
      <w:r w:rsidR="00C5103D" w:rsidRPr="00FE43F2">
        <w:rPr>
          <w:rFonts w:eastAsia="Times New Roman" w:cs="Arial"/>
          <w:color w:val="000000"/>
          <w:sz w:val="24"/>
          <w:szCs w:val="24"/>
        </w:rPr>
        <w:t xml:space="preserve">and importance </w:t>
      </w:r>
      <w:r w:rsidR="00AB50DB" w:rsidRPr="00FE43F2">
        <w:rPr>
          <w:rFonts w:eastAsia="Times New Roman" w:cs="Arial"/>
          <w:color w:val="000000"/>
          <w:sz w:val="24"/>
          <w:szCs w:val="24"/>
        </w:rPr>
        <w:t>of integrated employment</w:t>
      </w:r>
      <w:r w:rsidR="00C5103D" w:rsidRPr="00FE43F2">
        <w:rPr>
          <w:rFonts w:eastAsia="Times New Roman" w:cs="Arial"/>
          <w:color w:val="000000"/>
          <w:sz w:val="24"/>
          <w:szCs w:val="24"/>
        </w:rPr>
        <w:t>,</w:t>
      </w:r>
      <w:r w:rsidRPr="00FE43F2">
        <w:rPr>
          <w:rFonts w:eastAsia="Times New Roman" w:cs="Arial"/>
          <w:color w:val="000000"/>
          <w:sz w:val="24"/>
          <w:szCs w:val="24"/>
        </w:rPr>
        <w:t xml:space="preserve"> </w:t>
      </w:r>
      <w:r w:rsidR="00AB50DB" w:rsidRPr="00FE43F2">
        <w:rPr>
          <w:rFonts w:eastAsia="Times New Roman" w:cs="Arial"/>
          <w:color w:val="000000"/>
          <w:sz w:val="24"/>
          <w:szCs w:val="24"/>
        </w:rPr>
        <w:t>mov</w:t>
      </w:r>
      <w:r w:rsidR="00C5103D" w:rsidRPr="00FE43F2">
        <w:rPr>
          <w:rFonts w:eastAsia="Times New Roman" w:cs="Arial"/>
          <w:color w:val="000000"/>
          <w:sz w:val="24"/>
          <w:szCs w:val="24"/>
        </w:rPr>
        <w:t>ing</w:t>
      </w:r>
      <w:r w:rsidR="00AB50DB" w:rsidRPr="00FE43F2">
        <w:rPr>
          <w:rFonts w:eastAsia="Times New Roman" w:cs="Arial"/>
          <w:color w:val="000000"/>
          <w:sz w:val="24"/>
          <w:szCs w:val="24"/>
        </w:rPr>
        <w:t xml:space="preserve"> ahead </w:t>
      </w:r>
      <w:r w:rsidR="007D7E25" w:rsidRPr="00FE43F2">
        <w:rPr>
          <w:rFonts w:eastAsia="Times New Roman" w:cs="Arial"/>
          <w:color w:val="000000"/>
          <w:sz w:val="24"/>
          <w:szCs w:val="24"/>
        </w:rPr>
        <w:t xml:space="preserve">regardless </w:t>
      </w:r>
      <w:r w:rsidR="0057441C" w:rsidRPr="00FE43F2">
        <w:rPr>
          <w:rFonts w:eastAsia="Times New Roman" w:cs="Arial"/>
          <w:color w:val="000000"/>
          <w:sz w:val="24"/>
          <w:szCs w:val="24"/>
        </w:rPr>
        <w:t>of state budget issues</w:t>
      </w:r>
      <w:r w:rsidR="007D7E25" w:rsidRPr="00FE43F2">
        <w:rPr>
          <w:rFonts w:eastAsia="Times New Roman" w:cs="Arial"/>
          <w:color w:val="000000"/>
          <w:sz w:val="24"/>
          <w:szCs w:val="24"/>
        </w:rPr>
        <w:t>,</w:t>
      </w:r>
      <w:r w:rsidRPr="00FE43F2">
        <w:rPr>
          <w:rFonts w:eastAsia="Times New Roman" w:cs="Arial"/>
          <w:color w:val="000000"/>
          <w:sz w:val="24"/>
          <w:szCs w:val="24"/>
        </w:rPr>
        <w:t xml:space="preserve"> and created</w:t>
      </w:r>
      <w:r w:rsidR="00AB50DB" w:rsidRPr="00FE43F2">
        <w:rPr>
          <w:rFonts w:eastAsia="Times New Roman" w:cs="Arial"/>
          <w:color w:val="000000"/>
          <w:sz w:val="24"/>
          <w:szCs w:val="24"/>
        </w:rPr>
        <w:t xml:space="preserve"> the infrastructure </w:t>
      </w:r>
      <w:r w:rsidR="0057441C" w:rsidRPr="00FE43F2">
        <w:rPr>
          <w:rFonts w:eastAsia="Times New Roman" w:cs="Arial"/>
          <w:color w:val="000000"/>
          <w:sz w:val="24"/>
          <w:szCs w:val="24"/>
        </w:rPr>
        <w:t xml:space="preserve">within their systems </w:t>
      </w:r>
      <w:r w:rsidR="00AB50DB" w:rsidRPr="00FE43F2">
        <w:rPr>
          <w:rFonts w:eastAsia="Times New Roman" w:cs="Arial"/>
          <w:color w:val="000000"/>
          <w:sz w:val="24"/>
          <w:szCs w:val="24"/>
        </w:rPr>
        <w:t xml:space="preserve">for innovations. </w:t>
      </w:r>
    </w:p>
    <w:p w14:paraId="1D3E8E43" w14:textId="0411F0A9" w:rsidR="0047148B" w:rsidRPr="00FE43F2" w:rsidRDefault="00AB50DB" w:rsidP="008D2024">
      <w:pPr>
        <w:spacing w:after="0" w:line="480" w:lineRule="auto"/>
        <w:textAlignment w:val="baseline"/>
        <w:rPr>
          <w:rFonts w:eastAsia="Times New Roman" w:cs="Arial"/>
          <w:color w:val="000000"/>
          <w:sz w:val="24"/>
          <w:szCs w:val="24"/>
        </w:rPr>
      </w:pPr>
      <w:r w:rsidRPr="00FE43F2">
        <w:rPr>
          <w:rFonts w:eastAsia="Times New Roman" w:cs="Arial"/>
          <w:color w:val="000000"/>
          <w:sz w:val="24"/>
          <w:szCs w:val="24"/>
        </w:rPr>
        <w:tab/>
      </w:r>
      <w:r w:rsidR="003F1FFA" w:rsidRPr="00FE43F2">
        <w:rPr>
          <w:rFonts w:eastAsia="Times New Roman" w:cs="Arial"/>
          <w:color w:val="000000"/>
          <w:sz w:val="24"/>
          <w:szCs w:val="24"/>
        </w:rPr>
        <w:t>Policy analysis 2 considered</w:t>
      </w:r>
      <w:r w:rsidR="0057441C" w:rsidRPr="00FE43F2">
        <w:rPr>
          <w:rFonts w:eastAsia="Times New Roman" w:cs="Arial"/>
          <w:color w:val="000000"/>
          <w:sz w:val="24"/>
          <w:szCs w:val="24"/>
        </w:rPr>
        <w:t xml:space="preserve"> </w:t>
      </w:r>
      <w:r w:rsidR="003F1FFA" w:rsidRPr="00FE43F2">
        <w:rPr>
          <w:rFonts w:cs="Arial"/>
          <w:iCs/>
          <w:sz w:val="24"/>
          <w:szCs w:val="24"/>
        </w:rPr>
        <w:t>developments and potential strategies to embed employment as a priority for support coordination/ case management in service plan development, implementation and follow-up</w:t>
      </w:r>
      <w:r w:rsidR="00C5103D" w:rsidRPr="00FE43F2">
        <w:rPr>
          <w:rFonts w:eastAsia="Times New Roman" w:cs="Arial"/>
          <w:color w:val="000000"/>
          <w:sz w:val="24"/>
          <w:szCs w:val="24"/>
        </w:rPr>
        <w:t xml:space="preserve">. </w:t>
      </w:r>
      <w:r w:rsidR="008D2024" w:rsidRPr="00FE43F2">
        <w:rPr>
          <w:rFonts w:eastAsia="Times New Roman" w:cs="Arial"/>
          <w:color w:val="000000"/>
          <w:sz w:val="24"/>
          <w:szCs w:val="24"/>
        </w:rPr>
        <w:t>The person-</w:t>
      </w:r>
      <w:r w:rsidR="00FA282D" w:rsidRPr="00FE43F2">
        <w:rPr>
          <w:rFonts w:eastAsia="Times New Roman" w:cs="Arial"/>
          <w:color w:val="000000"/>
          <w:sz w:val="24"/>
          <w:szCs w:val="24"/>
        </w:rPr>
        <w:t xml:space="preserve">centered planning and settings components of the HCBS </w:t>
      </w:r>
      <w:r w:rsidR="0057441C" w:rsidRPr="00FE43F2">
        <w:rPr>
          <w:rFonts w:eastAsia="Times New Roman" w:cs="Arial"/>
          <w:color w:val="000000"/>
          <w:sz w:val="24"/>
          <w:szCs w:val="24"/>
        </w:rPr>
        <w:t>Final R</w:t>
      </w:r>
      <w:r w:rsidR="00FA282D" w:rsidRPr="00FE43F2">
        <w:rPr>
          <w:rFonts w:eastAsia="Times New Roman" w:cs="Arial"/>
          <w:color w:val="000000"/>
          <w:sz w:val="24"/>
          <w:szCs w:val="24"/>
        </w:rPr>
        <w:t xml:space="preserve">ule </w:t>
      </w:r>
      <w:r w:rsidR="00D3201A" w:rsidRPr="00FE43F2">
        <w:rPr>
          <w:rFonts w:eastAsia="Times New Roman" w:cs="Arial"/>
          <w:color w:val="000000"/>
          <w:sz w:val="24"/>
          <w:szCs w:val="24"/>
        </w:rPr>
        <w:t xml:space="preserve">can </w:t>
      </w:r>
      <w:r w:rsidR="00FA282D" w:rsidRPr="00FE43F2">
        <w:rPr>
          <w:rFonts w:eastAsia="Times New Roman" w:cs="Arial"/>
          <w:color w:val="000000"/>
          <w:sz w:val="24"/>
          <w:szCs w:val="24"/>
        </w:rPr>
        <w:t>provide a strong foundation for support coordinators to further meaningful conversations with individuals, families</w:t>
      </w:r>
      <w:r w:rsidR="0071731A" w:rsidRPr="00FE43F2">
        <w:rPr>
          <w:rFonts w:eastAsia="Times New Roman" w:cs="Arial"/>
          <w:color w:val="000000"/>
          <w:sz w:val="24"/>
          <w:szCs w:val="24"/>
        </w:rPr>
        <w:t>,</w:t>
      </w:r>
      <w:r w:rsidR="00FA282D" w:rsidRPr="00FE43F2">
        <w:rPr>
          <w:rFonts w:eastAsia="Times New Roman" w:cs="Arial"/>
          <w:color w:val="000000"/>
          <w:sz w:val="24"/>
          <w:szCs w:val="24"/>
        </w:rPr>
        <w:t xml:space="preserve"> and </w:t>
      </w:r>
      <w:r w:rsidR="008D2024" w:rsidRPr="00FE43F2">
        <w:rPr>
          <w:rFonts w:eastAsia="Times New Roman" w:cs="Arial"/>
          <w:color w:val="000000"/>
          <w:sz w:val="24"/>
          <w:szCs w:val="24"/>
        </w:rPr>
        <w:t xml:space="preserve">support </w:t>
      </w:r>
      <w:r w:rsidR="00FA282D" w:rsidRPr="00FE43F2">
        <w:rPr>
          <w:rFonts w:eastAsia="Times New Roman" w:cs="Arial"/>
          <w:color w:val="000000"/>
          <w:sz w:val="24"/>
          <w:szCs w:val="24"/>
        </w:rPr>
        <w:t>teams. States are finding new ways to improve the person</w:t>
      </w:r>
      <w:r w:rsidR="0071731A" w:rsidRPr="00FE43F2">
        <w:rPr>
          <w:rFonts w:eastAsia="Times New Roman" w:cs="Arial"/>
          <w:color w:val="000000"/>
          <w:sz w:val="24"/>
          <w:szCs w:val="24"/>
        </w:rPr>
        <w:t>-</w:t>
      </w:r>
      <w:r w:rsidR="00FA282D" w:rsidRPr="00FE43F2">
        <w:rPr>
          <w:rFonts w:eastAsia="Times New Roman" w:cs="Arial"/>
          <w:color w:val="000000"/>
          <w:sz w:val="24"/>
          <w:szCs w:val="24"/>
        </w:rPr>
        <w:t>centere</w:t>
      </w:r>
      <w:r w:rsidR="00011B90" w:rsidRPr="00FE43F2">
        <w:rPr>
          <w:rFonts w:eastAsia="Times New Roman" w:cs="Arial"/>
          <w:color w:val="000000"/>
          <w:sz w:val="24"/>
          <w:szCs w:val="24"/>
        </w:rPr>
        <w:t>d planning process that involve</w:t>
      </w:r>
      <w:r w:rsidR="00FA282D" w:rsidRPr="00FE43F2">
        <w:rPr>
          <w:rFonts w:eastAsia="Times New Roman" w:cs="Arial"/>
          <w:color w:val="000000"/>
          <w:sz w:val="24"/>
          <w:szCs w:val="24"/>
        </w:rPr>
        <w:t xml:space="preserve"> guidance, questions</w:t>
      </w:r>
      <w:r w:rsidR="00234888" w:rsidRPr="00FE43F2">
        <w:rPr>
          <w:rFonts w:eastAsia="Times New Roman" w:cs="Arial"/>
          <w:color w:val="000000"/>
          <w:sz w:val="24"/>
          <w:szCs w:val="24"/>
        </w:rPr>
        <w:t>,</w:t>
      </w:r>
      <w:r w:rsidR="00FA282D" w:rsidRPr="00FE43F2">
        <w:rPr>
          <w:rFonts w:eastAsia="Times New Roman" w:cs="Arial"/>
          <w:color w:val="000000"/>
          <w:sz w:val="24"/>
          <w:szCs w:val="24"/>
        </w:rPr>
        <w:t xml:space="preserve"> and potential action steps for support coordinators to use with teams </w:t>
      </w:r>
      <w:r w:rsidR="00C510D2" w:rsidRPr="00FE43F2">
        <w:rPr>
          <w:rFonts w:eastAsia="Times New Roman" w:cs="Arial"/>
          <w:color w:val="000000"/>
          <w:sz w:val="24"/>
          <w:szCs w:val="24"/>
        </w:rPr>
        <w:t>when a person is not working</w:t>
      </w:r>
      <w:r w:rsidR="0057441C" w:rsidRPr="00FE43F2">
        <w:rPr>
          <w:rFonts w:eastAsia="Times New Roman" w:cs="Arial"/>
          <w:color w:val="000000"/>
          <w:sz w:val="24"/>
          <w:szCs w:val="24"/>
        </w:rPr>
        <w:t xml:space="preserve"> and has not expressed interest in a job</w:t>
      </w:r>
      <w:r w:rsidR="00C510D2" w:rsidRPr="00FE43F2">
        <w:rPr>
          <w:rFonts w:eastAsia="Times New Roman" w:cs="Arial"/>
          <w:color w:val="000000"/>
          <w:sz w:val="24"/>
          <w:szCs w:val="24"/>
        </w:rPr>
        <w:t xml:space="preserve">, </w:t>
      </w:r>
      <w:r w:rsidR="0057441C" w:rsidRPr="00FE43F2">
        <w:rPr>
          <w:rFonts w:eastAsia="Times New Roman" w:cs="Arial"/>
          <w:color w:val="000000"/>
          <w:sz w:val="24"/>
          <w:szCs w:val="24"/>
        </w:rPr>
        <w:t xml:space="preserve">is </w:t>
      </w:r>
      <w:r w:rsidR="00C510D2" w:rsidRPr="00FE43F2">
        <w:rPr>
          <w:rFonts w:eastAsia="Times New Roman" w:cs="Arial"/>
          <w:color w:val="000000"/>
          <w:sz w:val="24"/>
          <w:szCs w:val="24"/>
        </w:rPr>
        <w:t xml:space="preserve">not working but would like a job, or </w:t>
      </w:r>
      <w:r w:rsidR="0057441C" w:rsidRPr="00FE43F2">
        <w:rPr>
          <w:rFonts w:eastAsia="Times New Roman" w:cs="Arial"/>
          <w:color w:val="000000"/>
          <w:sz w:val="24"/>
          <w:szCs w:val="24"/>
        </w:rPr>
        <w:t xml:space="preserve">is </w:t>
      </w:r>
      <w:r w:rsidR="00C510D2" w:rsidRPr="00FE43F2">
        <w:rPr>
          <w:rFonts w:eastAsia="Times New Roman" w:cs="Arial"/>
          <w:color w:val="000000"/>
          <w:sz w:val="24"/>
          <w:szCs w:val="24"/>
        </w:rPr>
        <w:t xml:space="preserve">working and seeking growth opportunities. </w:t>
      </w:r>
    </w:p>
    <w:p w14:paraId="6950AC05" w14:textId="2EE364B5" w:rsidR="0057035C" w:rsidRPr="00FE43F2" w:rsidRDefault="008D2024" w:rsidP="00B951AC">
      <w:pPr>
        <w:spacing w:after="0" w:line="480" w:lineRule="auto"/>
        <w:ind w:firstLine="720"/>
        <w:textAlignment w:val="baseline"/>
        <w:rPr>
          <w:rFonts w:eastAsia="Times New Roman" w:cs="Arial"/>
          <w:color w:val="000000"/>
          <w:sz w:val="24"/>
          <w:szCs w:val="24"/>
        </w:rPr>
      </w:pPr>
      <w:r w:rsidRPr="00FE43F2">
        <w:rPr>
          <w:rFonts w:eastAsia="Times New Roman" w:cs="Arial"/>
          <w:color w:val="000000"/>
          <w:sz w:val="24"/>
          <w:szCs w:val="24"/>
        </w:rPr>
        <w:t>Po</w:t>
      </w:r>
      <w:r w:rsidR="00B53A31" w:rsidRPr="00FE43F2">
        <w:rPr>
          <w:rFonts w:eastAsia="Times New Roman" w:cs="Arial"/>
          <w:color w:val="000000"/>
          <w:sz w:val="24"/>
          <w:szCs w:val="24"/>
        </w:rPr>
        <w:t>licy analysis</w:t>
      </w:r>
      <w:r w:rsidR="00C5103D" w:rsidRPr="00FE43F2">
        <w:rPr>
          <w:rFonts w:eastAsia="Times New Roman" w:cs="Arial"/>
          <w:color w:val="000000"/>
          <w:sz w:val="24"/>
          <w:szCs w:val="24"/>
        </w:rPr>
        <w:t xml:space="preserve"> </w:t>
      </w:r>
      <w:r w:rsidRPr="00FE43F2">
        <w:rPr>
          <w:rFonts w:eastAsia="Times New Roman" w:cs="Arial"/>
          <w:color w:val="000000"/>
          <w:sz w:val="24"/>
          <w:szCs w:val="24"/>
        </w:rPr>
        <w:t>3</w:t>
      </w:r>
      <w:r w:rsidR="00594277" w:rsidRPr="00FE43F2">
        <w:rPr>
          <w:rFonts w:eastAsia="Times New Roman" w:cs="Arial"/>
          <w:color w:val="000000"/>
          <w:sz w:val="24"/>
          <w:szCs w:val="24"/>
        </w:rPr>
        <w:t xml:space="preserve">, in progress, </w:t>
      </w:r>
      <w:r w:rsidR="00B53A31" w:rsidRPr="00FE43F2">
        <w:rPr>
          <w:rFonts w:eastAsia="Times New Roman" w:cs="Arial"/>
          <w:color w:val="000000"/>
          <w:sz w:val="24"/>
          <w:szCs w:val="24"/>
        </w:rPr>
        <w:t>will address strategies for interagency collaboration</w:t>
      </w:r>
      <w:r w:rsidR="0047148B" w:rsidRPr="00FE43F2">
        <w:rPr>
          <w:rFonts w:eastAsia="Times New Roman" w:cs="Arial"/>
          <w:color w:val="000000"/>
          <w:sz w:val="24"/>
          <w:szCs w:val="24"/>
        </w:rPr>
        <w:t>,</w:t>
      </w:r>
      <w:r w:rsidR="00B53A31" w:rsidRPr="00FE43F2">
        <w:rPr>
          <w:rFonts w:eastAsia="Times New Roman" w:cs="Arial"/>
          <w:color w:val="000000"/>
          <w:sz w:val="24"/>
          <w:szCs w:val="24"/>
        </w:rPr>
        <w:t xml:space="preserve"> with the goal of seamless transition throughout systems and across the lifespan. </w:t>
      </w:r>
    </w:p>
    <w:p w14:paraId="56E41C2C" w14:textId="77777777" w:rsidR="0057035C" w:rsidRPr="00B951AC" w:rsidRDefault="0057035C" w:rsidP="00011B90">
      <w:pPr>
        <w:spacing w:after="0" w:line="480" w:lineRule="auto"/>
        <w:textAlignment w:val="baseline"/>
        <w:rPr>
          <w:rFonts w:eastAsia="Times New Roman" w:cs="Arial"/>
          <w:caps/>
          <w:color w:val="000000"/>
          <w:sz w:val="24"/>
          <w:szCs w:val="24"/>
          <w:u w:val="single"/>
        </w:rPr>
      </w:pPr>
      <w:r w:rsidRPr="00B951AC">
        <w:rPr>
          <w:rFonts w:eastAsia="Times New Roman" w:cs="Arial"/>
          <w:caps/>
          <w:color w:val="000000"/>
          <w:sz w:val="24"/>
          <w:szCs w:val="24"/>
          <w:u w:val="single"/>
        </w:rPr>
        <w:t xml:space="preserve">Discussion </w:t>
      </w:r>
    </w:p>
    <w:p w14:paraId="0819B475" w14:textId="4FFD9EAA" w:rsidR="002F5B77" w:rsidRPr="00FE43F2" w:rsidRDefault="00C510D2" w:rsidP="009B4D94">
      <w:pPr>
        <w:spacing w:after="0" w:line="480" w:lineRule="auto"/>
        <w:textAlignment w:val="baseline"/>
        <w:rPr>
          <w:rFonts w:eastAsia="Times New Roman" w:cs="Arial"/>
          <w:color w:val="000000"/>
          <w:sz w:val="24"/>
          <w:szCs w:val="24"/>
        </w:rPr>
      </w:pPr>
      <w:r w:rsidRPr="00FE43F2">
        <w:rPr>
          <w:rFonts w:eastAsia="Times New Roman" w:cs="Arial"/>
          <w:color w:val="000000"/>
          <w:sz w:val="24"/>
          <w:szCs w:val="24"/>
        </w:rPr>
        <w:tab/>
      </w:r>
      <w:r w:rsidR="00700904" w:rsidRPr="00FE43F2">
        <w:rPr>
          <w:rFonts w:eastAsia="Times New Roman" w:cs="Arial"/>
          <w:color w:val="000000"/>
          <w:sz w:val="24"/>
          <w:szCs w:val="24"/>
        </w:rPr>
        <w:t>The composite indicator research that ranks state employment systems enabl</w:t>
      </w:r>
      <w:r w:rsidR="000E4FE8" w:rsidRPr="00FE43F2">
        <w:rPr>
          <w:rFonts w:eastAsia="Times New Roman" w:cs="Arial"/>
          <w:color w:val="000000"/>
          <w:sz w:val="24"/>
          <w:szCs w:val="24"/>
        </w:rPr>
        <w:t>es</w:t>
      </w:r>
      <w:r w:rsidR="00700904" w:rsidRPr="00FE43F2">
        <w:rPr>
          <w:rFonts w:eastAsia="Times New Roman" w:cs="Arial"/>
          <w:color w:val="000000"/>
          <w:sz w:val="24"/>
          <w:szCs w:val="24"/>
        </w:rPr>
        <w:t xml:space="preserve"> the identification of </w:t>
      </w:r>
      <w:r w:rsidR="00E55DB0" w:rsidRPr="00FE43F2">
        <w:rPr>
          <w:rFonts w:eastAsia="Times New Roman" w:cs="Arial"/>
          <w:color w:val="000000"/>
          <w:sz w:val="24"/>
          <w:szCs w:val="24"/>
        </w:rPr>
        <w:t>states that are performing higher relative to others</w:t>
      </w:r>
      <w:r w:rsidR="000E4FE8" w:rsidRPr="00FE43F2">
        <w:rPr>
          <w:rFonts w:eastAsia="Times New Roman" w:cs="Arial"/>
          <w:color w:val="000000"/>
          <w:sz w:val="24"/>
          <w:szCs w:val="24"/>
        </w:rPr>
        <w:t>,</w:t>
      </w:r>
      <w:r w:rsidR="00E55DB0" w:rsidRPr="00FE43F2">
        <w:rPr>
          <w:rFonts w:eastAsia="Times New Roman" w:cs="Arial"/>
          <w:color w:val="000000"/>
          <w:sz w:val="24"/>
          <w:szCs w:val="24"/>
        </w:rPr>
        <w:t xml:space="preserve"> so that </w:t>
      </w:r>
      <w:r w:rsidR="00700904" w:rsidRPr="00FE43F2">
        <w:rPr>
          <w:rFonts w:eastAsia="Times New Roman" w:cs="Arial"/>
          <w:color w:val="000000"/>
          <w:sz w:val="24"/>
          <w:szCs w:val="24"/>
        </w:rPr>
        <w:t xml:space="preserve">that as a field we </w:t>
      </w:r>
      <w:r w:rsidRPr="00FE43F2">
        <w:rPr>
          <w:rFonts w:eastAsia="Times New Roman" w:cs="Arial"/>
          <w:color w:val="000000"/>
          <w:sz w:val="24"/>
          <w:szCs w:val="24"/>
        </w:rPr>
        <w:t>can identi</w:t>
      </w:r>
      <w:r w:rsidR="000E4FE8" w:rsidRPr="00FE43F2">
        <w:rPr>
          <w:rFonts w:eastAsia="Times New Roman" w:cs="Arial"/>
          <w:color w:val="000000"/>
          <w:sz w:val="24"/>
          <w:szCs w:val="24"/>
        </w:rPr>
        <w:t>f</w:t>
      </w:r>
      <w:r w:rsidRPr="00FE43F2">
        <w:rPr>
          <w:rFonts w:eastAsia="Times New Roman" w:cs="Arial"/>
          <w:color w:val="000000"/>
          <w:sz w:val="24"/>
          <w:szCs w:val="24"/>
        </w:rPr>
        <w:t xml:space="preserve">y and seek to replicate </w:t>
      </w:r>
      <w:r w:rsidR="009B4D94" w:rsidRPr="00FE43F2">
        <w:rPr>
          <w:rFonts w:eastAsia="Times New Roman" w:cs="Arial"/>
          <w:color w:val="000000"/>
          <w:sz w:val="24"/>
          <w:szCs w:val="24"/>
        </w:rPr>
        <w:t xml:space="preserve">promising practices. </w:t>
      </w:r>
      <w:r w:rsidR="00837885" w:rsidRPr="00FE43F2">
        <w:rPr>
          <w:rFonts w:eastAsia="Times New Roman" w:cs="Arial"/>
          <w:color w:val="000000"/>
          <w:sz w:val="24"/>
          <w:szCs w:val="24"/>
        </w:rPr>
        <w:t xml:space="preserve">The higher performing </w:t>
      </w:r>
      <w:r w:rsidR="009B4D94" w:rsidRPr="00FE43F2">
        <w:rPr>
          <w:rFonts w:eastAsia="Times New Roman" w:cs="Arial"/>
          <w:color w:val="000000"/>
          <w:sz w:val="24"/>
          <w:szCs w:val="24"/>
        </w:rPr>
        <w:t xml:space="preserve">state </w:t>
      </w:r>
      <w:r w:rsidR="00837885" w:rsidRPr="00FE43F2">
        <w:rPr>
          <w:rFonts w:eastAsia="Times New Roman" w:cs="Arial"/>
          <w:color w:val="000000"/>
          <w:sz w:val="24"/>
          <w:szCs w:val="24"/>
        </w:rPr>
        <w:t xml:space="preserve">systems </w:t>
      </w:r>
      <w:r w:rsidR="009B4D94" w:rsidRPr="00FE43F2">
        <w:rPr>
          <w:rFonts w:eastAsia="Times New Roman" w:cs="Arial"/>
          <w:color w:val="000000"/>
          <w:sz w:val="24"/>
          <w:szCs w:val="24"/>
        </w:rPr>
        <w:t xml:space="preserve">provide context to the </w:t>
      </w:r>
      <w:r w:rsidR="0062117E" w:rsidRPr="00FE43F2">
        <w:rPr>
          <w:rFonts w:eastAsia="Times New Roman" w:cs="Arial"/>
          <w:color w:val="000000"/>
          <w:sz w:val="24"/>
          <w:szCs w:val="24"/>
        </w:rPr>
        <w:t xml:space="preserve">factors that </w:t>
      </w:r>
      <w:r w:rsidR="009B4D94" w:rsidRPr="00FE43F2">
        <w:rPr>
          <w:rFonts w:eastAsia="Times New Roman" w:cs="Arial"/>
          <w:color w:val="000000"/>
          <w:sz w:val="24"/>
          <w:szCs w:val="24"/>
        </w:rPr>
        <w:t xml:space="preserve">permit </w:t>
      </w:r>
      <w:r w:rsidR="003D734F" w:rsidRPr="00FE43F2">
        <w:rPr>
          <w:rFonts w:eastAsia="Times New Roman" w:cs="Arial"/>
          <w:color w:val="000000"/>
          <w:sz w:val="24"/>
          <w:szCs w:val="24"/>
        </w:rPr>
        <w:t>state IDD, VR, and education</w:t>
      </w:r>
      <w:r w:rsidR="0062117E" w:rsidRPr="00FE43F2">
        <w:rPr>
          <w:rFonts w:eastAsia="Times New Roman" w:cs="Arial"/>
          <w:color w:val="000000"/>
          <w:sz w:val="24"/>
          <w:szCs w:val="24"/>
        </w:rPr>
        <w:t xml:space="preserve"> agencies to support a high percentage of individuals with IDD in employment. The description of policies and practices that occur within and across state agencies provides valuable information to support the implementation of both federal and state laws and initiatives to improve the economic </w:t>
      </w:r>
      <w:r w:rsidR="0062117E" w:rsidRPr="00FE43F2">
        <w:rPr>
          <w:rFonts w:eastAsia="Times New Roman" w:cs="Arial"/>
          <w:color w:val="000000"/>
          <w:sz w:val="24"/>
          <w:szCs w:val="24"/>
        </w:rPr>
        <w:lastRenderedPageBreak/>
        <w:t xml:space="preserve">outcomes of individuals with IDD. Preliminary findings from the </w:t>
      </w:r>
      <w:r w:rsidR="00594277" w:rsidRPr="00FE43F2">
        <w:rPr>
          <w:rFonts w:eastAsia="Times New Roman" w:cs="Arial"/>
          <w:color w:val="000000"/>
          <w:sz w:val="24"/>
          <w:szCs w:val="24"/>
        </w:rPr>
        <w:t>Maryland</w:t>
      </w:r>
      <w:r w:rsidR="0062117E" w:rsidRPr="00FE43F2">
        <w:rPr>
          <w:rFonts w:eastAsia="Times New Roman" w:cs="Arial"/>
          <w:color w:val="000000"/>
          <w:sz w:val="24"/>
          <w:szCs w:val="24"/>
        </w:rPr>
        <w:t xml:space="preserve"> case study suggest that there is a longitudinal component to state’s success </w:t>
      </w:r>
      <w:r w:rsidR="009B4D94" w:rsidRPr="00FE43F2">
        <w:rPr>
          <w:rFonts w:eastAsia="Times New Roman" w:cs="Arial"/>
          <w:color w:val="000000"/>
          <w:sz w:val="24"/>
          <w:szCs w:val="24"/>
        </w:rPr>
        <w:t>which</w:t>
      </w:r>
      <w:r w:rsidR="0062117E" w:rsidRPr="00FE43F2">
        <w:rPr>
          <w:rFonts w:eastAsia="Times New Roman" w:cs="Arial"/>
          <w:color w:val="000000"/>
          <w:sz w:val="24"/>
          <w:szCs w:val="24"/>
        </w:rPr>
        <w:t xml:space="preserve"> depends on </w:t>
      </w:r>
      <w:r w:rsidR="009B4D94" w:rsidRPr="00FE43F2">
        <w:rPr>
          <w:rFonts w:eastAsia="Times New Roman" w:cs="Arial"/>
          <w:color w:val="000000"/>
          <w:sz w:val="24"/>
          <w:szCs w:val="24"/>
        </w:rPr>
        <w:t>state government stakeholders</w:t>
      </w:r>
      <w:r w:rsidR="00D3201A" w:rsidRPr="00FE43F2">
        <w:rPr>
          <w:rFonts w:eastAsia="Times New Roman" w:cs="Arial"/>
          <w:color w:val="000000"/>
          <w:sz w:val="24"/>
          <w:szCs w:val="24"/>
        </w:rPr>
        <w:t xml:space="preserve">, the service provider </w:t>
      </w:r>
      <w:r w:rsidR="0062117E" w:rsidRPr="00FE43F2">
        <w:rPr>
          <w:rFonts w:eastAsia="Times New Roman" w:cs="Arial"/>
          <w:color w:val="000000"/>
          <w:sz w:val="24"/>
          <w:szCs w:val="24"/>
        </w:rPr>
        <w:t>commun</w:t>
      </w:r>
      <w:r w:rsidR="00B951AC">
        <w:rPr>
          <w:rFonts w:eastAsia="Times New Roman" w:cs="Arial"/>
          <w:color w:val="000000"/>
          <w:sz w:val="24"/>
          <w:szCs w:val="24"/>
        </w:rPr>
        <w:t>ity, and the advocacy community</w:t>
      </w:r>
      <w:r w:rsidR="0062117E" w:rsidRPr="00FE43F2">
        <w:rPr>
          <w:rFonts w:eastAsia="Times New Roman" w:cs="Arial"/>
          <w:color w:val="000000"/>
          <w:sz w:val="24"/>
          <w:szCs w:val="24"/>
        </w:rPr>
        <w:t xml:space="preserve">. </w:t>
      </w:r>
      <w:r w:rsidR="00F46E68" w:rsidRPr="00FE43F2">
        <w:rPr>
          <w:rFonts w:eastAsia="Times New Roman" w:cs="Arial"/>
          <w:color w:val="000000"/>
          <w:sz w:val="24"/>
          <w:szCs w:val="24"/>
        </w:rPr>
        <w:t>Additio</w:t>
      </w:r>
      <w:r w:rsidR="00B951AC">
        <w:rPr>
          <w:rFonts w:eastAsia="Times New Roman" w:cs="Arial"/>
          <w:color w:val="000000"/>
          <w:sz w:val="24"/>
          <w:szCs w:val="24"/>
        </w:rPr>
        <w:t xml:space="preserve">nal findings </w:t>
      </w:r>
      <w:r w:rsidR="00F46E68" w:rsidRPr="00FE43F2">
        <w:rPr>
          <w:rFonts w:eastAsia="Times New Roman" w:cs="Arial"/>
          <w:color w:val="000000"/>
          <w:sz w:val="24"/>
          <w:szCs w:val="24"/>
        </w:rPr>
        <w:t>suggest that state agency policy and practices that specif</w:t>
      </w:r>
      <w:r w:rsidR="00B951AC">
        <w:rPr>
          <w:rFonts w:eastAsia="Times New Roman" w:cs="Arial"/>
          <w:color w:val="000000"/>
          <w:sz w:val="24"/>
          <w:szCs w:val="24"/>
        </w:rPr>
        <w:t xml:space="preserve">ically address how supports </w:t>
      </w:r>
      <w:r w:rsidR="00F46E68" w:rsidRPr="00FE43F2">
        <w:rPr>
          <w:rFonts w:eastAsia="Times New Roman" w:cs="Arial"/>
          <w:color w:val="000000"/>
          <w:sz w:val="24"/>
          <w:szCs w:val="24"/>
        </w:rPr>
        <w:t>will evolve over time is an important component of</w:t>
      </w:r>
      <w:r w:rsidR="00361ED2" w:rsidRPr="00FE43F2">
        <w:rPr>
          <w:rFonts w:eastAsia="Times New Roman" w:cs="Arial"/>
          <w:color w:val="000000"/>
          <w:sz w:val="24"/>
          <w:szCs w:val="24"/>
        </w:rPr>
        <w:t xml:space="preserve"> building an Employment First c</w:t>
      </w:r>
      <w:r w:rsidR="00F46E68" w:rsidRPr="00FE43F2">
        <w:rPr>
          <w:rFonts w:eastAsia="Times New Roman" w:cs="Arial"/>
          <w:color w:val="000000"/>
          <w:sz w:val="24"/>
          <w:szCs w:val="24"/>
        </w:rPr>
        <w:t xml:space="preserve">ulture.    </w:t>
      </w:r>
    </w:p>
    <w:p w14:paraId="7D8E3BEB" w14:textId="6EEDABC4" w:rsidR="00FE43F2" w:rsidRPr="00B951AC" w:rsidRDefault="00FA5B20" w:rsidP="00B951AC">
      <w:pPr>
        <w:autoSpaceDE w:val="0"/>
        <w:autoSpaceDN w:val="0"/>
        <w:adjustRightInd w:val="0"/>
        <w:spacing w:after="0" w:line="480" w:lineRule="auto"/>
        <w:ind w:firstLine="720"/>
        <w:contextualSpacing/>
        <w:rPr>
          <w:rFonts w:cs="Arial"/>
          <w:iCs/>
          <w:sz w:val="24"/>
          <w:szCs w:val="24"/>
        </w:rPr>
      </w:pPr>
      <w:r w:rsidRPr="00FE43F2">
        <w:rPr>
          <w:rFonts w:cs="Arial"/>
          <w:iCs/>
          <w:sz w:val="24"/>
          <w:szCs w:val="24"/>
        </w:rPr>
        <w:t xml:space="preserve">The implications of the findings across this research strand focus on the ways in which systems change is a commitment that </w:t>
      </w:r>
      <w:r w:rsidR="009B4D94" w:rsidRPr="00FE43F2">
        <w:rPr>
          <w:rFonts w:cs="Arial"/>
          <w:iCs/>
          <w:sz w:val="24"/>
          <w:szCs w:val="24"/>
        </w:rPr>
        <w:t>requires a long-</w:t>
      </w:r>
      <w:r w:rsidR="002F5B77" w:rsidRPr="00FE43F2">
        <w:rPr>
          <w:rFonts w:cs="Arial"/>
          <w:iCs/>
          <w:sz w:val="24"/>
          <w:szCs w:val="24"/>
        </w:rPr>
        <w:t>term ded</w:t>
      </w:r>
      <w:r w:rsidR="00361ED2" w:rsidRPr="00FE43F2">
        <w:rPr>
          <w:rFonts w:cs="Arial"/>
          <w:iCs/>
          <w:sz w:val="24"/>
          <w:szCs w:val="24"/>
        </w:rPr>
        <w:t>ication to reframing how services are designed to support</w:t>
      </w:r>
      <w:r w:rsidR="002F5B77" w:rsidRPr="00FE43F2">
        <w:rPr>
          <w:rFonts w:cs="Arial"/>
          <w:iCs/>
          <w:sz w:val="24"/>
          <w:szCs w:val="24"/>
        </w:rPr>
        <w:t xml:space="preserve"> individuals to obtain their goals. This reframing will require changes no</w:t>
      </w:r>
      <w:r w:rsidR="003D734F" w:rsidRPr="00FE43F2">
        <w:rPr>
          <w:rFonts w:cs="Arial"/>
          <w:iCs/>
          <w:sz w:val="24"/>
          <w:szCs w:val="24"/>
        </w:rPr>
        <w:t xml:space="preserve">t only across the IDD, VR, and education </w:t>
      </w:r>
      <w:r w:rsidR="00361ED2" w:rsidRPr="00FE43F2">
        <w:rPr>
          <w:rFonts w:cs="Arial"/>
          <w:iCs/>
          <w:sz w:val="24"/>
          <w:szCs w:val="24"/>
        </w:rPr>
        <w:t>service systems but within communit</w:t>
      </w:r>
      <w:r w:rsidR="003D734F" w:rsidRPr="00FE43F2">
        <w:rPr>
          <w:rFonts w:cs="Arial"/>
          <w:iCs/>
          <w:sz w:val="24"/>
          <w:szCs w:val="24"/>
        </w:rPr>
        <w:t>y providers and throughout the</w:t>
      </w:r>
      <w:r w:rsidR="00361ED2" w:rsidRPr="00FE43F2">
        <w:rPr>
          <w:rFonts w:cs="Arial"/>
          <w:iCs/>
          <w:sz w:val="24"/>
          <w:szCs w:val="24"/>
        </w:rPr>
        <w:t xml:space="preserve"> direct support workforce </w:t>
      </w:r>
      <w:r w:rsidR="003D734F" w:rsidRPr="00FE43F2">
        <w:rPr>
          <w:rFonts w:cs="Arial"/>
          <w:iCs/>
          <w:sz w:val="24"/>
          <w:szCs w:val="24"/>
        </w:rPr>
        <w:t xml:space="preserve">that is </w:t>
      </w:r>
      <w:r w:rsidR="00361ED2" w:rsidRPr="00FE43F2">
        <w:rPr>
          <w:rFonts w:cs="Arial"/>
          <w:iCs/>
          <w:sz w:val="24"/>
          <w:szCs w:val="24"/>
        </w:rPr>
        <w:t xml:space="preserve">implementing these services. </w:t>
      </w:r>
    </w:p>
    <w:p w14:paraId="5EE9C5F5" w14:textId="0E7A1BEE" w:rsidR="00074608" w:rsidRPr="00FE43F2" w:rsidRDefault="00FE43F2" w:rsidP="00FE43F2">
      <w:pPr>
        <w:autoSpaceDE w:val="0"/>
        <w:autoSpaceDN w:val="0"/>
        <w:adjustRightInd w:val="0"/>
        <w:spacing w:after="0" w:line="240" w:lineRule="auto"/>
        <w:contextualSpacing/>
        <w:rPr>
          <w:rFonts w:cs="Arial"/>
          <w:iCs/>
          <w:sz w:val="24"/>
          <w:szCs w:val="24"/>
          <w:u w:val="single"/>
        </w:rPr>
      </w:pPr>
      <w:r w:rsidRPr="00FE43F2">
        <w:rPr>
          <w:rFonts w:cs="Arial"/>
          <w:iCs/>
          <w:sz w:val="24"/>
          <w:szCs w:val="24"/>
          <w:u w:val="single"/>
        </w:rPr>
        <w:t>SOURCES CITED</w:t>
      </w:r>
    </w:p>
    <w:p w14:paraId="5AD207AA" w14:textId="2E6B6349" w:rsidR="0058530D" w:rsidRPr="00FE43F2" w:rsidRDefault="0058530D" w:rsidP="00FE43F2">
      <w:pPr>
        <w:autoSpaceDE w:val="0"/>
        <w:autoSpaceDN w:val="0"/>
        <w:adjustRightInd w:val="0"/>
        <w:spacing w:after="0" w:line="240" w:lineRule="auto"/>
        <w:contextualSpacing/>
        <w:rPr>
          <w:sz w:val="24"/>
          <w:szCs w:val="24"/>
        </w:rPr>
      </w:pPr>
      <w:r w:rsidRPr="00FE43F2">
        <w:rPr>
          <w:sz w:val="24"/>
          <w:szCs w:val="24"/>
        </w:rPr>
        <w:t xml:space="preserve">Butterworth, J., Smith, F. A., Winsor, J., </w:t>
      </w:r>
      <w:proofErr w:type="spellStart"/>
      <w:r w:rsidRPr="00FE43F2">
        <w:rPr>
          <w:sz w:val="24"/>
          <w:szCs w:val="24"/>
        </w:rPr>
        <w:t>Ciulla</w:t>
      </w:r>
      <w:proofErr w:type="spellEnd"/>
      <w:r w:rsidRPr="00FE43F2">
        <w:rPr>
          <w:sz w:val="24"/>
          <w:szCs w:val="24"/>
        </w:rPr>
        <w:t xml:space="preserve"> Timmons, J</w:t>
      </w:r>
      <w:proofErr w:type="gramStart"/>
      <w:r w:rsidRPr="00FE43F2">
        <w:rPr>
          <w:sz w:val="24"/>
          <w:szCs w:val="24"/>
        </w:rPr>
        <w:t>. ,</w:t>
      </w:r>
      <w:proofErr w:type="gramEnd"/>
      <w:r w:rsidRPr="00FE43F2">
        <w:rPr>
          <w:sz w:val="24"/>
          <w:szCs w:val="24"/>
        </w:rPr>
        <w:t xml:space="preserve"> Migliore, A., &amp; Domin, D, (2016). </w:t>
      </w:r>
      <w:proofErr w:type="spellStart"/>
      <w:r w:rsidRPr="00FE43F2">
        <w:rPr>
          <w:sz w:val="24"/>
          <w:szCs w:val="24"/>
        </w:rPr>
        <w:t>StateData</w:t>
      </w:r>
      <w:proofErr w:type="spellEnd"/>
      <w:r w:rsidRPr="00FE43F2">
        <w:rPr>
          <w:sz w:val="24"/>
          <w:szCs w:val="24"/>
        </w:rPr>
        <w:t>: The national report on employment services and outcomes. Boston, MA: University of Massachusetts Boston, Institute for Community Inclusion.</w:t>
      </w:r>
    </w:p>
    <w:p w14:paraId="7CEC4C9A" w14:textId="77777777" w:rsidR="00FE43F2" w:rsidRPr="00FE43F2" w:rsidRDefault="00FE43F2" w:rsidP="00FE43F2">
      <w:pPr>
        <w:autoSpaceDE w:val="0"/>
        <w:autoSpaceDN w:val="0"/>
        <w:adjustRightInd w:val="0"/>
        <w:spacing w:after="0" w:line="240" w:lineRule="auto"/>
        <w:contextualSpacing/>
        <w:rPr>
          <w:sz w:val="24"/>
          <w:szCs w:val="24"/>
        </w:rPr>
      </w:pPr>
    </w:p>
    <w:p w14:paraId="1498B4E4" w14:textId="77777777" w:rsidR="00FE43F2" w:rsidRPr="00FE43F2" w:rsidRDefault="00FE43F2" w:rsidP="00FE43F2">
      <w:pPr>
        <w:autoSpaceDE w:val="0"/>
        <w:autoSpaceDN w:val="0"/>
        <w:adjustRightInd w:val="0"/>
        <w:spacing w:after="0" w:line="240" w:lineRule="auto"/>
        <w:contextualSpacing/>
        <w:rPr>
          <w:sz w:val="24"/>
          <w:szCs w:val="24"/>
        </w:rPr>
      </w:pPr>
      <w:r w:rsidRPr="00FE43F2">
        <w:rPr>
          <w:sz w:val="24"/>
          <w:szCs w:val="24"/>
        </w:rPr>
        <w:t>Domin, D., &amp; Butterworth, J. (2012). The 2010-2011 national survey of community rehabilitation providers. Report 1: Overview of services, trends and provider characteristics. Research to Practice Brief. Boston, MA: University of Massachusetts Boston, Institute for Community Inclusion.</w:t>
      </w:r>
    </w:p>
    <w:p w14:paraId="3A840495" w14:textId="77777777" w:rsidR="00FE43F2" w:rsidRDefault="00FE43F2" w:rsidP="00FE43F2">
      <w:pPr>
        <w:autoSpaceDE w:val="0"/>
        <w:autoSpaceDN w:val="0"/>
        <w:adjustRightInd w:val="0"/>
        <w:spacing w:after="0" w:line="240" w:lineRule="auto"/>
        <w:contextualSpacing/>
        <w:rPr>
          <w:sz w:val="24"/>
          <w:szCs w:val="24"/>
        </w:rPr>
      </w:pPr>
    </w:p>
    <w:p w14:paraId="10439EC4" w14:textId="30B964AB" w:rsidR="00FE43F2" w:rsidRPr="00FE43F2" w:rsidRDefault="00FE43F2" w:rsidP="00FE43F2">
      <w:pPr>
        <w:autoSpaceDE w:val="0"/>
        <w:autoSpaceDN w:val="0"/>
        <w:adjustRightInd w:val="0"/>
        <w:spacing w:after="0" w:line="240" w:lineRule="auto"/>
        <w:contextualSpacing/>
        <w:rPr>
          <w:sz w:val="24"/>
          <w:szCs w:val="24"/>
        </w:rPr>
      </w:pPr>
      <w:r w:rsidRPr="00FE43F2">
        <w:rPr>
          <w:sz w:val="24"/>
          <w:szCs w:val="24"/>
        </w:rPr>
        <w:t xml:space="preserve">Hall, A. C., Butterworth, J., Winsor, J., Gilmore, D., &amp; </w:t>
      </w:r>
      <w:proofErr w:type="spellStart"/>
      <w:r w:rsidRPr="00FE43F2">
        <w:rPr>
          <w:sz w:val="24"/>
          <w:szCs w:val="24"/>
        </w:rPr>
        <w:t>Metzel</w:t>
      </w:r>
      <w:proofErr w:type="spellEnd"/>
      <w:r w:rsidRPr="00FE43F2">
        <w:rPr>
          <w:sz w:val="24"/>
          <w:szCs w:val="24"/>
        </w:rPr>
        <w:t>, D. (2007). Pushing the employment agenda: Case study research of high performing states in integrated employment. Intellectual and Developmental Disabilities, 45(3), 182–198.</w:t>
      </w:r>
    </w:p>
    <w:p w14:paraId="68CCA987" w14:textId="77777777" w:rsidR="0058530D" w:rsidRPr="00FE43F2" w:rsidRDefault="0058530D" w:rsidP="00FE43F2">
      <w:pPr>
        <w:autoSpaceDE w:val="0"/>
        <w:autoSpaceDN w:val="0"/>
        <w:adjustRightInd w:val="0"/>
        <w:spacing w:after="0" w:line="240" w:lineRule="auto"/>
        <w:contextualSpacing/>
        <w:rPr>
          <w:sz w:val="24"/>
          <w:szCs w:val="24"/>
        </w:rPr>
      </w:pPr>
    </w:p>
    <w:p w14:paraId="0E90A139" w14:textId="36D8DBC7" w:rsidR="0058530D" w:rsidRPr="00FE43F2" w:rsidRDefault="0058530D" w:rsidP="00FE43F2">
      <w:pPr>
        <w:autoSpaceDE w:val="0"/>
        <w:autoSpaceDN w:val="0"/>
        <w:adjustRightInd w:val="0"/>
        <w:spacing w:after="0" w:line="240" w:lineRule="auto"/>
        <w:contextualSpacing/>
        <w:rPr>
          <w:sz w:val="24"/>
          <w:szCs w:val="24"/>
        </w:rPr>
      </w:pPr>
      <w:proofErr w:type="spellStart"/>
      <w:r w:rsidRPr="00FE43F2">
        <w:rPr>
          <w:sz w:val="24"/>
          <w:szCs w:val="24"/>
        </w:rPr>
        <w:t>Hiersteiner</w:t>
      </w:r>
      <w:proofErr w:type="spellEnd"/>
      <w:r w:rsidRPr="00FE43F2">
        <w:rPr>
          <w:sz w:val="24"/>
          <w:szCs w:val="24"/>
        </w:rPr>
        <w:t xml:space="preserve">, D., </w:t>
      </w:r>
      <w:proofErr w:type="spellStart"/>
      <w:r w:rsidRPr="00FE43F2">
        <w:rPr>
          <w:sz w:val="24"/>
          <w:szCs w:val="24"/>
        </w:rPr>
        <w:t>Bershadsky</w:t>
      </w:r>
      <w:proofErr w:type="spellEnd"/>
      <w:r w:rsidRPr="00FE43F2">
        <w:rPr>
          <w:sz w:val="24"/>
          <w:szCs w:val="24"/>
        </w:rPr>
        <w:t xml:space="preserve">, J., </w:t>
      </w:r>
      <w:proofErr w:type="spellStart"/>
      <w:r w:rsidRPr="00FE43F2">
        <w:rPr>
          <w:sz w:val="24"/>
          <w:szCs w:val="24"/>
        </w:rPr>
        <w:t>Bonardi</w:t>
      </w:r>
      <w:proofErr w:type="spellEnd"/>
      <w:r w:rsidRPr="00FE43F2">
        <w:rPr>
          <w:sz w:val="24"/>
          <w:szCs w:val="24"/>
        </w:rPr>
        <w:t>, A., &amp; Butterworth, J. (2016). Working in the community: The status and outcomes of people with intellectual and developmental disabilities in integrated employment--Update 2. NCI Data Brief, April 2016. Cambridge, MA: Human Services Research Institute.</w:t>
      </w:r>
    </w:p>
    <w:p w14:paraId="5F209A03" w14:textId="77777777" w:rsidR="00FE43F2" w:rsidRPr="00FE43F2" w:rsidRDefault="00FE43F2" w:rsidP="00FE43F2">
      <w:pPr>
        <w:autoSpaceDE w:val="0"/>
        <w:autoSpaceDN w:val="0"/>
        <w:adjustRightInd w:val="0"/>
        <w:spacing w:after="0" w:line="240" w:lineRule="auto"/>
        <w:contextualSpacing/>
        <w:rPr>
          <w:sz w:val="24"/>
          <w:szCs w:val="24"/>
        </w:rPr>
      </w:pPr>
    </w:p>
    <w:p w14:paraId="5C912904" w14:textId="5F0676D2" w:rsidR="00FE43F2" w:rsidRPr="00FE43F2" w:rsidRDefault="00FE43F2" w:rsidP="00FE43F2">
      <w:pPr>
        <w:autoSpaceDE w:val="0"/>
        <w:autoSpaceDN w:val="0"/>
        <w:adjustRightInd w:val="0"/>
        <w:spacing w:after="0" w:line="240" w:lineRule="auto"/>
        <w:contextualSpacing/>
        <w:rPr>
          <w:rFonts w:cs="Arial"/>
          <w:iCs/>
          <w:sz w:val="24"/>
          <w:szCs w:val="24"/>
        </w:rPr>
      </w:pPr>
      <w:r w:rsidRPr="00FE43F2">
        <w:rPr>
          <w:sz w:val="24"/>
          <w:szCs w:val="24"/>
        </w:rPr>
        <w:t>Nord, D., Butterworth, J., Carlson, D., Grossi, T., Hall, A., &amp; Nye-Lengerman, K. (2016). Employment of people with IDD: What do we know and where are we going? In Critical issues in intellectual and developmental disabilities: Contemporary research, practice, and policy. Washington, DC: American Association on Intellectual and Developmental Disabilities.</w:t>
      </w:r>
    </w:p>
    <w:p w14:paraId="495C1E65" w14:textId="77777777" w:rsidR="00D17026" w:rsidRPr="00FE43F2" w:rsidRDefault="00D17026" w:rsidP="00FE43F2">
      <w:pPr>
        <w:autoSpaceDE w:val="0"/>
        <w:autoSpaceDN w:val="0"/>
        <w:adjustRightInd w:val="0"/>
        <w:spacing w:after="0" w:line="240" w:lineRule="auto"/>
        <w:rPr>
          <w:rFonts w:cs="Arial"/>
          <w:sz w:val="24"/>
          <w:szCs w:val="24"/>
        </w:rPr>
      </w:pPr>
      <w:r w:rsidRPr="00FE43F2">
        <w:rPr>
          <w:rFonts w:cs="Arial"/>
          <w:sz w:val="24"/>
          <w:szCs w:val="24"/>
        </w:rPr>
        <w:t xml:space="preserve"> </w:t>
      </w:r>
    </w:p>
    <w:p w14:paraId="6E06F316" w14:textId="77777777" w:rsidR="00700BE8" w:rsidRPr="00FE43F2" w:rsidRDefault="00700BE8" w:rsidP="00FE43F2">
      <w:pPr>
        <w:spacing w:line="240" w:lineRule="auto"/>
        <w:rPr>
          <w:rFonts w:cs="Arial"/>
          <w:sz w:val="24"/>
          <w:szCs w:val="24"/>
        </w:rPr>
      </w:pPr>
    </w:p>
    <w:sectPr w:rsidR="00700BE8" w:rsidRPr="00FE43F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ED815" w14:textId="77777777" w:rsidR="0004432B" w:rsidRDefault="0004432B" w:rsidP="00DA1D52">
      <w:pPr>
        <w:spacing w:after="0" w:line="240" w:lineRule="auto"/>
      </w:pPr>
      <w:r>
        <w:separator/>
      </w:r>
    </w:p>
  </w:endnote>
  <w:endnote w:type="continuationSeparator" w:id="0">
    <w:p w14:paraId="39D9D8C0" w14:textId="77777777" w:rsidR="0004432B" w:rsidRDefault="0004432B" w:rsidP="00DA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AC2E" w14:textId="77777777" w:rsidR="00831D0A" w:rsidRDefault="00831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48201"/>
      <w:docPartObj>
        <w:docPartGallery w:val="Page Numbers (Bottom of Page)"/>
        <w:docPartUnique/>
      </w:docPartObj>
    </w:sdtPr>
    <w:sdtEndPr>
      <w:rPr>
        <w:noProof/>
      </w:rPr>
    </w:sdtEndPr>
    <w:sdtContent>
      <w:p w14:paraId="030ADD33" w14:textId="77777777" w:rsidR="00027E87" w:rsidRDefault="00027E87">
        <w:pPr>
          <w:pStyle w:val="Footer"/>
          <w:jc w:val="right"/>
        </w:pPr>
        <w:r>
          <w:fldChar w:fldCharType="begin"/>
        </w:r>
        <w:r>
          <w:instrText xml:space="preserve"> PAGE   \* MERGEFORMAT </w:instrText>
        </w:r>
        <w:r>
          <w:fldChar w:fldCharType="separate"/>
        </w:r>
        <w:r w:rsidR="00831D0A">
          <w:rPr>
            <w:noProof/>
          </w:rPr>
          <w:t>1</w:t>
        </w:r>
        <w:r>
          <w:rPr>
            <w:noProof/>
          </w:rPr>
          <w:fldChar w:fldCharType="end"/>
        </w:r>
      </w:p>
    </w:sdtContent>
  </w:sdt>
  <w:p w14:paraId="52D4A0C7" w14:textId="77777777" w:rsidR="00027E87" w:rsidRDefault="00027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8ED7" w14:textId="77777777" w:rsidR="00831D0A" w:rsidRDefault="00831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6D57E" w14:textId="77777777" w:rsidR="0004432B" w:rsidRDefault="0004432B" w:rsidP="00DA1D52">
      <w:pPr>
        <w:spacing w:after="0" w:line="240" w:lineRule="auto"/>
      </w:pPr>
      <w:r>
        <w:separator/>
      </w:r>
    </w:p>
  </w:footnote>
  <w:footnote w:type="continuationSeparator" w:id="0">
    <w:p w14:paraId="5076689A" w14:textId="77777777" w:rsidR="0004432B" w:rsidRDefault="0004432B" w:rsidP="00DA1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093C" w14:textId="77777777" w:rsidR="00831D0A" w:rsidRDefault="00831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9B27" w14:textId="13D70CBB" w:rsidR="00831D0A" w:rsidRPr="00831D0A" w:rsidRDefault="00831D0A">
    <w:pPr>
      <w:pStyle w:val="Header"/>
      <w:rPr>
        <w:i/>
      </w:rPr>
    </w:pPr>
    <w:bookmarkStart w:id="0" w:name="_GoBack"/>
    <w:r w:rsidRPr="00831D0A">
      <w:rPr>
        <w:i/>
      </w:rPr>
      <w:t>DRAFT</w:t>
    </w:r>
  </w:p>
  <w:bookmarkEnd w:id="0" w:displacedByCustomXml="next"/>
  <w:sdt>
    <w:sdtPr>
      <w:id w:val="1642152805"/>
      <w:docPartObj>
        <w:docPartGallery w:val="Watermarks"/>
        <w:docPartUnique/>
      </w:docPartObj>
    </w:sdtPr>
    <w:sdtEndPr/>
    <w:sdtContent>
      <w:p w14:paraId="52278CF6" w14:textId="77777777" w:rsidR="00027E87" w:rsidRDefault="0004432B">
        <w:pPr>
          <w:pStyle w:val="Header"/>
        </w:pPr>
        <w:r>
          <w:rPr>
            <w:noProof/>
          </w:rPr>
          <w:pict w14:anchorId="4B7DB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00C3" w14:textId="77777777" w:rsidR="00831D0A" w:rsidRDefault="00831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EA2"/>
    <w:multiLevelType w:val="hybridMultilevel"/>
    <w:tmpl w:val="E6A2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FCB"/>
    <w:multiLevelType w:val="hybridMultilevel"/>
    <w:tmpl w:val="1772F6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418"/>
    <w:multiLevelType w:val="hybridMultilevel"/>
    <w:tmpl w:val="D12E5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72B92"/>
    <w:multiLevelType w:val="hybridMultilevel"/>
    <w:tmpl w:val="506CD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4E5DC9"/>
    <w:multiLevelType w:val="multilevel"/>
    <w:tmpl w:val="7C5E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D36BA"/>
    <w:multiLevelType w:val="hybridMultilevel"/>
    <w:tmpl w:val="99BA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75958"/>
    <w:multiLevelType w:val="multilevel"/>
    <w:tmpl w:val="A5B4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D361C"/>
    <w:multiLevelType w:val="multilevel"/>
    <w:tmpl w:val="3B3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44985"/>
    <w:multiLevelType w:val="hybridMultilevel"/>
    <w:tmpl w:val="941A46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E15755C"/>
    <w:multiLevelType w:val="hybridMultilevel"/>
    <w:tmpl w:val="236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11AA8"/>
    <w:multiLevelType w:val="multilevel"/>
    <w:tmpl w:val="C93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221AE6"/>
    <w:multiLevelType w:val="hybridMultilevel"/>
    <w:tmpl w:val="403214B8"/>
    <w:lvl w:ilvl="0" w:tplc="4C720FC8">
      <w:start w:val="1"/>
      <w:numFmt w:val="bullet"/>
      <w:lvlText w:val="•"/>
      <w:lvlJc w:val="left"/>
      <w:pPr>
        <w:tabs>
          <w:tab w:val="num" w:pos="720"/>
        </w:tabs>
        <w:ind w:left="720" w:hanging="360"/>
      </w:pPr>
      <w:rPr>
        <w:rFonts w:ascii="Arial" w:hAnsi="Arial" w:hint="default"/>
      </w:rPr>
    </w:lvl>
    <w:lvl w:ilvl="1" w:tplc="A6E675CE" w:tentative="1">
      <w:start w:val="1"/>
      <w:numFmt w:val="bullet"/>
      <w:lvlText w:val="•"/>
      <w:lvlJc w:val="left"/>
      <w:pPr>
        <w:tabs>
          <w:tab w:val="num" w:pos="1440"/>
        </w:tabs>
        <w:ind w:left="1440" w:hanging="360"/>
      </w:pPr>
      <w:rPr>
        <w:rFonts w:ascii="Arial" w:hAnsi="Arial" w:hint="default"/>
      </w:rPr>
    </w:lvl>
    <w:lvl w:ilvl="2" w:tplc="EEEEBA38" w:tentative="1">
      <w:start w:val="1"/>
      <w:numFmt w:val="bullet"/>
      <w:lvlText w:val="•"/>
      <w:lvlJc w:val="left"/>
      <w:pPr>
        <w:tabs>
          <w:tab w:val="num" w:pos="2160"/>
        </w:tabs>
        <w:ind w:left="2160" w:hanging="360"/>
      </w:pPr>
      <w:rPr>
        <w:rFonts w:ascii="Arial" w:hAnsi="Arial" w:hint="default"/>
      </w:rPr>
    </w:lvl>
    <w:lvl w:ilvl="3" w:tplc="90D0F94A" w:tentative="1">
      <w:start w:val="1"/>
      <w:numFmt w:val="bullet"/>
      <w:lvlText w:val="•"/>
      <w:lvlJc w:val="left"/>
      <w:pPr>
        <w:tabs>
          <w:tab w:val="num" w:pos="2880"/>
        </w:tabs>
        <w:ind w:left="2880" w:hanging="360"/>
      </w:pPr>
      <w:rPr>
        <w:rFonts w:ascii="Arial" w:hAnsi="Arial" w:hint="default"/>
      </w:rPr>
    </w:lvl>
    <w:lvl w:ilvl="4" w:tplc="3FC61072" w:tentative="1">
      <w:start w:val="1"/>
      <w:numFmt w:val="bullet"/>
      <w:lvlText w:val="•"/>
      <w:lvlJc w:val="left"/>
      <w:pPr>
        <w:tabs>
          <w:tab w:val="num" w:pos="3600"/>
        </w:tabs>
        <w:ind w:left="3600" w:hanging="360"/>
      </w:pPr>
      <w:rPr>
        <w:rFonts w:ascii="Arial" w:hAnsi="Arial" w:hint="default"/>
      </w:rPr>
    </w:lvl>
    <w:lvl w:ilvl="5" w:tplc="61CAF1F4" w:tentative="1">
      <w:start w:val="1"/>
      <w:numFmt w:val="bullet"/>
      <w:lvlText w:val="•"/>
      <w:lvlJc w:val="left"/>
      <w:pPr>
        <w:tabs>
          <w:tab w:val="num" w:pos="4320"/>
        </w:tabs>
        <w:ind w:left="4320" w:hanging="360"/>
      </w:pPr>
      <w:rPr>
        <w:rFonts w:ascii="Arial" w:hAnsi="Arial" w:hint="default"/>
      </w:rPr>
    </w:lvl>
    <w:lvl w:ilvl="6" w:tplc="BC9E95B0" w:tentative="1">
      <w:start w:val="1"/>
      <w:numFmt w:val="bullet"/>
      <w:lvlText w:val="•"/>
      <w:lvlJc w:val="left"/>
      <w:pPr>
        <w:tabs>
          <w:tab w:val="num" w:pos="5040"/>
        </w:tabs>
        <w:ind w:left="5040" w:hanging="360"/>
      </w:pPr>
      <w:rPr>
        <w:rFonts w:ascii="Arial" w:hAnsi="Arial" w:hint="default"/>
      </w:rPr>
    </w:lvl>
    <w:lvl w:ilvl="7" w:tplc="EB164E46" w:tentative="1">
      <w:start w:val="1"/>
      <w:numFmt w:val="bullet"/>
      <w:lvlText w:val="•"/>
      <w:lvlJc w:val="left"/>
      <w:pPr>
        <w:tabs>
          <w:tab w:val="num" w:pos="5760"/>
        </w:tabs>
        <w:ind w:left="5760" w:hanging="360"/>
      </w:pPr>
      <w:rPr>
        <w:rFonts w:ascii="Arial" w:hAnsi="Arial" w:hint="default"/>
      </w:rPr>
    </w:lvl>
    <w:lvl w:ilvl="8" w:tplc="65AA87AC" w:tentative="1">
      <w:start w:val="1"/>
      <w:numFmt w:val="bullet"/>
      <w:lvlText w:val="•"/>
      <w:lvlJc w:val="left"/>
      <w:pPr>
        <w:tabs>
          <w:tab w:val="num" w:pos="6480"/>
        </w:tabs>
        <w:ind w:left="6480" w:hanging="360"/>
      </w:pPr>
      <w:rPr>
        <w:rFonts w:ascii="Arial" w:hAnsi="Arial"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1440"/>
          </w:tabs>
          <w:ind w:left="144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1"/>
  </w:num>
  <w:num w:numId="7">
    <w:abstractNumId w:val="8"/>
  </w:num>
  <w:num w:numId="8">
    <w:abstractNumId w:val="5"/>
  </w:num>
  <w:num w:numId="9">
    <w:abstractNumId w:val="2"/>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5C"/>
    <w:rsid w:val="00011B90"/>
    <w:rsid w:val="00021B81"/>
    <w:rsid w:val="00027E87"/>
    <w:rsid w:val="0004432B"/>
    <w:rsid w:val="00045653"/>
    <w:rsid w:val="00055963"/>
    <w:rsid w:val="000665FF"/>
    <w:rsid w:val="00074608"/>
    <w:rsid w:val="00087693"/>
    <w:rsid w:val="000924CA"/>
    <w:rsid w:val="00094752"/>
    <w:rsid w:val="00095E05"/>
    <w:rsid w:val="00097605"/>
    <w:rsid w:val="000A20CB"/>
    <w:rsid w:val="000A7FA3"/>
    <w:rsid w:val="000B77CA"/>
    <w:rsid w:val="000C2534"/>
    <w:rsid w:val="000E4FE8"/>
    <w:rsid w:val="000F4F49"/>
    <w:rsid w:val="000F7B7F"/>
    <w:rsid w:val="00103B30"/>
    <w:rsid w:val="001107C2"/>
    <w:rsid w:val="001243C4"/>
    <w:rsid w:val="00126705"/>
    <w:rsid w:val="00135011"/>
    <w:rsid w:val="0014035B"/>
    <w:rsid w:val="0014236B"/>
    <w:rsid w:val="001468A4"/>
    <w:rsid w:val="00146C98"/>
    <w:rsid w:val="00190882"/>
    <w:rsid w:val="001A3E3A"/>
    <w:rsid w:val="001B3632"/>
    <w:rsid w:val="001E5C99"/>
    <w:rsid w:val="00214DE9"/>
    <w:rsid w:val="00216077"/>
    <w:rsid w:val="00221903"/>
    <w:rsid w:val="002272F4"/>
    <w:rsid w:val="00234888"/>
    <w:rsid w:val="0026024A"/>
    <w:rsid w:val="00276EC6"/>
    <w:rsid w:val="002A45AB"/>
    <w:rsid w:val="002A5B98"/>
    <w:rsid w:val="002B1600"/>
    <w:rsid w:val="002B55C6"/>
    <w:rsid w:val="002C3287"/>
    <w:rsid w:val="002D25BA"/>
    <w:rsid w:val="002D3A91"/>
    <w:rsid w:val="002D7CBB"/>
    <w:rsid w:val="002E1A02"/>
    <w:rsid w:val="002F2741"/>
    <w:rsid w:val="002F5B77"/>
    <w:rsid w:val="003076DF"/>
    <w:rsid w:val="0033567D"/>
    <w:rsid w:val="00361ED2"/>
    <w:rsid w:val="00366459"/>
    <w:rsid w:val="0039781B"/>
    <w:rsid w:val="003B20E7"/>
    <w:rsid w:val="003C1570"/>
    <w:rsid w:val="003C6E99"/>
    <w:rsid w:val="003D3D7A"/>
    <w:rsid w:val="003D734F"/>
    <w:rsid w:val="003F1FFA"/>
    <w:rsid w:val="003F5F9C"/>
    <w:rsid w:val="00411F52"/>
    <w:rsid w:val="004230CA"/>
    <w:rsid w:val="00423EFB"/>
    <w:rsid w:val="00425C70"/>
    <w:rsid w:val="00425E6C"/>
    <w:rsid w:val="00427C82"/>
    <w:rsid w:val="0043188F"/>
    <w:rsid w:val="004358BE"/>
    <w:rsid w:val="0047148B"/>
    <w:rsid w:val="00480D13"/>
    <w:rsid w:val="00490B09"/>
    <w:rsid w:val="00491451"/>
    <w:rsid w:val="004A194E"/>
    <w:rsid w:val="004B7E72"/>
    <w:rsid w:val="004C6CBA"/>
    <w:rsid w:val="004D2C53"/>
    <w:rsid w:val="004E05B5"/>
    <w:rsid w:val="004F2A11"/>
    <w:rsid w:val="004F7803"/>
    <w:rsid w:val="005179BE"/>
    <w:rsid w:val="00522526"/>
    <w:rsid w:val="00536CA3"/>
    <w:rsid w:val="00536D87"/>
    <w:rsid w:val="00554F38"/>
    <w:rsid w:val="00557717"/>
    <w:rsid w:val="00561872"/>
    <w:rsid w:val="0057035C"/>
    <w:rsid w:val="005730A1"/>
    <w:rsid w:val="0057441C"/>
    <w:rsid w:val="0058530D"/>
    <w:rsid w:val="00590E5F"/>
    <w:rsid w:val="00594277"/>
    <w:rsid w:val="005A3D92"/>
    <w:rsid w:val="005A4BBA"/>
    <w:rsid w:val="005A7492"/>
    <w:rsid w:val="005A7629"/>
    <w:rsid w:val="005F5E23"/>
    <w:rsid w:val="005F7D93"/>
    <w:rsid w:val="00605FAE"/>
    <w:rsid w:val="0062117E"/>
    <w:rsid w:val="0064269E"/>
    <w:rsid w:val="00650770"/>
    <w:rsid w:val="00666A9B"/>
    <w:rsid w:val="006B68B3"/>
    <w:rsid w:val="006D047D"/>
    <w:rsid w:val="006E17D5"/>
    <w:rsid w:val="00700904"/>
    <w:rsid w:val="00700BE8"/>
    <w:rsid w:val="0071731A"/>
    <w:rsid w:val="00717647"/>
    <w:rsid w:val="00725973"/>
    <w:rsid w:val="00740C42"/>
    <w:rsid w:val="00750488"/>
    <w:rsid w:val="00755FA7"/>
    <w:rsid w:val="007632DE"/>
    <w:rsid w:val="007642A8"/>
    <w:rsid w:val="007A18B2"/>
    <w:rsid w:val="007D213D"/>
    <w:rsid w:val="007D5A64"/>
    <w:rsid w:val="007D7E25"/>
    <w:rsid w:val="007E7F84"/>
    <w:rsid w:val="007F6D3A"/>
    <w:rsid w:val="00806007"/>
    <w:rsid w:val="0083100B"/>
    <w:rsid w:val="00831D0A"/>
    <w:rsid w:val="00837323"/>
    <w:rsid w:val="00837885"/>
    <w:rsid w:val="008515A9"/>
    <w:rsid w:val="008521F3"/>
    <w:rsid w:val="00855B16"/>
    <w:rsid w:val="008A30E7"/>
    <w:rsid w:val="008A4939"/>
    <w:rsid w:val="008B19BA"/>
    <w:rsid w:val="008D2024"/>
    <w:rsid w:val="008D7793"/>
    <w:rsid w:val="008E4ED8"/>
    <w:rsid w:val="008E6A5F"/>
    <w:rsid w:val="008F3541"/>
    <w:rsid w:val="008F375B"/>
    <w:rsid w:val="009027A8"/>
    <w:rsid w:val="00905049"/>
    <w:rsid w:val="0093101F"/>
    <w:rsid w:val="00947421"/>
    <w:rsid w:val="00956494"/>
    <w:rsid w:val="00971C7C"/>
    <w:rsid w:val="00990615"/>
    <w:rsid w:val="009907D8"/>
    <w:rsid w:val="009B4D94"/>
    <w:rsid w:val="009D7593"/>
    <w:rsid w:val="009E21F5"/>
    <w:rsid w:val="009E28B1"/>
    <w:rsid w:val="00A04D02"/>
    <w:rsid w:val="00A07484"/>
    <w:rsid w:val="00A26C7F"/>
    <w:rsid w:val="00A32113"/>
    <w:rsid w:val="00A452FD"/>
    <w:rsid w:val="00A542B5"/>
    <w:rsid w:val="00A607C7"/>
    <w:rsid w:val="00A6249C"/>
    <w:rsid w:val="00A64B39"/>
    <w:rsid w:val="00A709A1"/>
    <w:rsid w:val="00A7476D"/>
    <w:rsid w:val="00A839A5"/>
    <w:rsid w:val="00A93CA6"/>
    <w:rsid w:val="00A94988"/>
    <w:rsid w:val="00AA1341"/>
    <w:rsid w:val="00AA4AF7"/>
    <w:rsid w:val="00AB50DB"/>
    <w:rsid w:val="00AB643C"/>
    <w:rsid w:val="00AD25E6"/>
    <w:rsid w:val="00AE07CD"/>
    <w:rsid w:val="00AE538C"/>
    <w:rsid w:val="00AF46A4"/>
    <w:rsid w:val="00AF7B29"/>
    <w:rsid w:val="00B11987"/>
    <w:rsid w:val="00B1432A"/>
    <w:rsid w:val="00B1562C"/>
    <w:rsid w:val="00B30477"/>
    <w:rsid w:val="00B3317B"/>
    <w:rsid w:val="00B47EFE"/>
    <w:rsid w:val="00B5100B"/>
    <w:rsid w:val="00B53A31"/>
    <w:rsid w:val="00B85C26"/>
    <w:rsid w:val="00B87788"/>
    <w:rsid w:val="00B951AC"/>
    <w:rsid w:val="00BC5D14"/>
    <w:rsid w:val="00BD0DC3"/>
    <w:rsid w:val="00BE0441"/>
    <w:rsid w:val="00BE6916"/>
    <w:rsid w:val="00BF4E40"/>
    <w:rsid w:val="00C0256D"/>
    <w:rsid w:val="00C11C78"/>
    <w:rsid w:val="00C1419C"/>
    <w:rsid w:val="00C221FE"/>
    <w:rsid w:val="00C227F3"/>
    <w:rsid w:val="00C364B5"/>
    <w:rsid w:val="00C5103D"/>
    <w:rsid w:val="00C510D2"/>
    <w:rsid w:val="00C57DC7"/>
    <w:rsid w:val="00C6134C"/>
    <w:rsid w:val="00C618E1"/>
    <w:rsid w:val="00C75740"/>
    <w:rsid w:val="00CA0CAB"/>
    <w:rsid w:val="00CA4F5D"/>
    <w:rsid w:val="00CA6D73"/>
    <w:rsid w:val="00CB6921"/>
    <w:rsid w:val="00CC1F13"/>
    <w:rsid w:val="00CC6C7D"/>
    <w:rsid w:val="00CE2542"/>
    <w:rsid w:val="00CE4A33"/>
    <w:rsid w:val="00CE7862"/>
    <w:rsid w:val="00D0209B"/>
    <w:rsid w:val="00D05D7F"/>
    <w:rsid w:val="00D17026"/>
    <w:rsid w:val="00D20984"/>
    <w:rsid w:val="00D3201A"/>
    <w:rsid w:val="00D7093F"/>
    <w:rsid w:val="00D82C27"/>
    <w:rsid w:val="00D908E3"/>
    <w:rsid w:val="00DA1D52"/>
    <w:rsid w:val="00DC2759"/>
    <w:rsid w:val="00DC380C"/>
    <w:rsid w:val="00DD328E"/>
    <w:rsid w:val="00DE16E8"/>
    <w:rsid w:val="00DF090C"/>
    <w:rsid w:val="00E00173"/>
    <w:rsid w:val="00E00F86"/>
    <w:rsid w:val="00E04B1F"/>
    <w:rsid w:val="00E36491"/>
    <w:rsid w:val="00E5061A"/>
    <w:rsid w:val="00E533D1"/>
    <w:rsid w:val="00E55DB0"/>
    <w:rsid w:val="00E61CFE"/>
    <w:rsid w:val="00E64C2A"/>
    <w:rsid w:val="00E70DE7"/>
    <w:rsid w:val="00E77E50"/>
    <w:rsid w:val="00E9049D"/>
    <w:rsid w:val="00E94375"/>
    <w:rsid w:val="00EC22C5"/>
    <w:rsid w:val="00EC6BB2"/>
    <w:rsid w:val="00EE0F3C"/>
    <w:rsid w:val="00F0322B"/>
    <w:rsid w:val="00F11420"/>
    <w:rsid w:val="00F26DB3"/>
    <w:rsid w:val="00F4020B"/>
    <w:rsid w:val="00F46E68"/>
    <w:rsid w:val="00F5114F"/>
    <w:rsid w:val="00F51BDD"/>
    <w:rsid w:val="00F52CDD"/>
    <w:rsid w:val="00F54F6D"/>
    <w:rsid w:val="00F55E99"/>
    <w:rsid w:val="00F65CA9"/>
    <w:rsid w:val="00F661EB"/>
    <w:rsid w:val="00F75308"/>
    <w:rsid w:val="00F855E0"/>
    <w:rsid w:val="00F95FED"/>
    <w:rsid w:val="00FA282D"/>
    <w:rsid w:val="00FA4983"/>
    <w:rsid w:val="00FA5B20"/>
    <w:rsid w:val="00FE43F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712475"/>
  <w15:chartTrackingRefBased/>
  <w15:docId w15:val="{4FA14C4C-BD60-4726-BBF5-1B1484E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3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76DF"/>
    <w:pPr>
      <w:keepNext/>
      <w:keepLines/>
      <w:tabs>
        <w:tab w:val="left" w:pos="144"/>
      </w:tabs>
      <w:spacing w:before="120" w:after="0" w:line="480" w:lineRule="exact"/>
      <w:outlineLvl w:val="1"/>
    </w:pPr>
    <w:rPr>
      <w:rFonts w:ascii="Times" w:eastAsiaTheme="majorEastAsia" w:hAnsi="Times"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52"/>
  </w:style>
  <w:style w:type="paragraph" w:styleId="Footer">
    <w:name w:val="footer"/>
    <w:basedOn w:val="Normal"/>
    <w:link w:val="FooterChar"/>
    <w:uiPriority w:val="99"/>
    <w:unhideWhenUsed/>
    <w:rsid w:val="00DA1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52"/>
  </w:style>
  <w:style w:type="paragraph" w:styleId="CommentText">
    <w:name w:val="annotation text"/>
    <w:basedOn w:val="Normal"/>
    <w:link w:val="CommentTextChar"/>
    <w:uiPriority w:val="99"/>
    <w:semiHidden/>
    <w:unhideWhenUsed/>
    <w:rsid w:val="005730A1"/>
    <w:pPr>
      <w:spacing w:line="240" w:lineRule="auto"/>
    </w:pPr>
    <w:rPr>
      <w:sz w:val="20"/>
      <w:szCs w:val="20"/>
    </w:rPr>
  </w:style>
  <w:style w:type="character" w:customStyle="1" w:styleId="CommentTextChar">
    <w:name w:val="Comment Text Char"/>
    <w:basedOn w:val="DefaultParagraphFont"/>
    <w:link w:val="CommentText"/>
    <w:uiPriority w:val="99"/>
    <w:semiHidden/>
    <w:rsid w:val="005730A1"/>
    <w:rPr>
      <w:sz w:val="20"/>
      <w:szCs w:val="20"/>
    </w:rPr>
  </w:style>
  <w:style w:type="paragraph" w:styleId="FootnoteText">
    <w:name w:val="footnote text"/>
    <w:basedOn w:val="Normal"/>
    <w:link w:val="FootnoteTextChar"/>
    <w:uiPriority w:val="99"/>
    <w:semiHidden/>
    <w:unhideWhenUsed/>
    <w:rsid w:val="00573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0A1"/>
    <w:rPr>
      <w:sz w:val="20"/>
      <w:szCs w:val="20"/>
    </w:rPr>
  </w:style>
  <w:style w:type="character" w:styleId="CommentReference">
    <w:name w:val="annotation reference"/>
    <w:uiPriority w:val="99"/>
    <w:semiHidden/>
    <w:unhideWhenUsed/>
    <w:rsid w:val="005730A1"/>
    <w:rPr>
      <w:sz w:val="18"/>
      <w:szCs w:val="18"/>
    </w:rPr>
  </w:style>
  <w:style w:type="character" w:styleId="FootnoteReference">
    <w:name w:val="footnote reference"/>
    <w:uiPriority w:val="99"/>
    <w:unhideWhenUsed/>
    <w:rsid w:val="005730A1"/>
    <w:rPr>
      <w:vertAlign w:val="superscript"/>
    </w:rPr>
  </w:style>
  <w:style w:type="paragraph" w:styleId="Revision">
    <w:name w:val="Revision"/>
    <w:hidden/>
    <w:uiPriority w:val="99"/>
    <w:semiHidden/>
    <w:rsid w:val="0014236B"/>
    <w:pPr>
      <w:spacing w:after="0" w:line="240" w:lineRule="auto"/>
    </w:pPr>
  </w:style>
  <w:style w:type="paragraph" w:styleId="BalloonText">
    <w:name w:val="Balloon Text"/>
    <w:basedOn w:val="Normal"/>
    <w:link w:val="BalloonTextChar"/>
    <w:uiPriority w:val="99"/>
    <w:semiHidden/>
    <w:unhideWhenUsed/>
    <w:rsid w:val="00142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6B"/>
    <w:rPr>
      <w:rFonts w:ascii="Segoe UI" w:hAnsi="Segoe UI" w:cs="Segoe UI"/>
      <w:sz w:val="18"/>
      <w:szCs w:val="18"/>
    </w:rPr>
  </w:style>
  <w:style w:type="paragraph" w:styleId="ListParagraph">
    <w:name w:val="List Paragraph"/>
    <w:basedOn w:val="Normal"/>
    <w:uiPriority w:val="34"/>
    <w:qFormat/>
    <w:rsid w:val="00E64C2A"/>
    <w:pPr>
      <w:ind w:left="720"/>
      <w:contextualSpacing/>
    </w:pPr>
  </w:style>
  <w:style w:type="paragraph" w:styleId="CommentSubject">
    <w:name w:val="annotation subject"/>
    <w:basedOn w:val="CommentText"/>
    <w:next w:val="CommentText"/>
    <w:link w:val="CommentSubjectChar"/>
    <w:uiPriority w:val="99"/>
    <w:semiHidden/>
    <w:unhideWhenUsed/>
    <w:rsid w:val="007D213D"/>
    <w:rPr>
      <w:b/>
      <w:bCs/>
    </w:rPr>
  </w:style>
  <w:style w:type="character" w:customStyle="1" w:styleId="CommentSubjectChar">
    <w:name w:val="Comment Subject Char"/>
    <w:basedOn w:val="CommentTextChar"/>
    <w:link w:val="CommentSubject"/>
    <w:uiPriority w:val="99"/>
    <w:semiHidden/>
    <w:rsid w:val="007D213D"/>
    <w:rPr>
      <w:b/>
      <w:bCs/>
      <w:sz w:val="20"/>
      <w:szCs w:val="20"/>
    </w:rPr>
  </w:style>
  <w:style w:type="paragraph" w:styleId="NormalWeb">
    <w:name w:val="Normal (Web)"/>
    <w:basedOn w:val="Normal"/>
    <w:uiPriority w:val="99"/>
    <w:unhideWhenUsed/>
    <w:rsid w:val="003F5F9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E55DB0"/>
    <w:pPr>
      <w:spacing w:after="0" w:line="240" w:lineRule="auto"/>
    </w:pPr>
  </w:style>
  <w:style w:type="paragraph" w:customStyle="1" w:styleId="Singlespace">
    <w:name w:val="Single space"/>
    <w:basedOn w:val="Normal"/>
    <w:qFormat/>
    <w:rsid w:val="00F26DB3"/>
    <w:pPr>
      <w:tabs>
        <w:tab w:val="left" w:pos="144"/>
      </w:tabs>
      <w:spacing w:after="0" w:line="240" w:lineRule="auto"/>
    </w:pPr>
    <w:rPr>
      <w:rFonts w:ascii="Times" w:eastAsia="Cambria" w:hAnsi="Times" w:cs="Times New Roman"/>
      <w:sz w:val="24"/>
      <w:szCs w:val="24"/>
    </w:rPr>
  </w:style>
  <w:style w:type="character" w:customStyle="1" w:styleId="Heading2Char">
    <w:name w:val="Heading 2 Char"/>
    <w:basedOn w:val="DefaultParagraphFont"/>
    <w:link w:val="Heading2"/>
    <w:uiPriority w:val="9"/>
    <w:rsid w:val="003076DF"/>
    <w:rPr>
      <w:rFonts w:ascii="Times" w:eastAsiaTheme="majorEastAsia" w:hAnsi="Times" w:cstheme="majorBidi"/>
      <w:b/>
      <w:bCs/>
      <w:sz w:val="24"/>
      <w:szCs w:val="24"/>
    </w:rPr>
  </w:style>
  <w:style w:type="table" w:styleId="TableGrid">
    <w:name w:val="Table Grid"/>
    <w:basedOn w:val="TableNormal"/>
    <w:rsid w:val="003076DF"/>
    <w:pPr>
      <w:tabs>
        <w:tab w:val="left" w:pos="360"/>
      </w:tabs>
      <w:spacing w:after="0" w:line="240" w:lineRule="auto"/>
    </w:pPr>
    <w:rPr>
      <w:rFonts w:ascii="Times" w:eastAsiaTheme="minorEastAsia" w:hAnsi="Times"/>
      <w:sz w:val="24"/>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3076DF"/>
  </w:style>
  <w:style w:type="character" w:customStyle="1" w:styleId="Heading1Char">
    <w:name w:val="Heading 1 Char"/>
    <w:basedOn w:val="DefaultParagraphFont"/>
    <w:link w:val="Heading1"/>
    <w:uiPriority w:val="9"/>
    <w:rsid w:val="00A93C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4074">
      <w:bodyDiv w:val="1"/>
      <w:marLeft w:val="0"/>
      <w:marRight w:val="0"/>
      <w:marTop w:val="0"/>
      <w:marBottom w:val="0"/>
      <w:divBdr>
        <w:top w:val="none" w:sz="0" w:space="0" w:color="auto"/>
        <w:left w:val="none" w:sz="0" w:space="0" w:color="auto"/>
        <w:bottom w:val="none" w:sz="0" w:space="0" w:color="auto"/>
        <w:right w:val="none" w:sz="0" w:space="0" w:color="auto"/>
      </w:divBdr>
    </w:div>
    <w:div w:id="427583774">
      <w:bodyDiv w:val="1"/>
      <w:marLeft w:val="0"/>
      <w:marRight w:val="0"/>
      <w:marTop w:val="0"/>
      <w:marBottom w:val="0"/>
      <w:divBdr>
        <w:top w:val="none" w:sz="0" w:space="0" w:color="auto"/>
        <w:left w:val="none" w:sz="0" w:space="0" w:color="auto"/>
        <w:bottom w:val="none" w:sz="0" w:space="0" w:color="auto"/>
        <w:right w:val="none" w:sz="0" w:space="0" w:color="auto"/>
      </w:divBdr>
    </w:div>
    <w:div w:id="700059498">
      <w:bodyDiv w:val="1"/>
      <w:marLeft w:val="0"/>
      <w:marRight w:val="0"/>
      <w:marTop w:val="0"/>
      <w:marBottom w:val="0"/>
      <w:divBdr>
        <w:top w:val="none" w:sz="0" w:space="0" w:color="auto"/>
        <w:left w:val="none" w:sz="0" w:space="0" w:color="auto"/>
        <w:bottom w:val="none" w:sz="0" w:space="0" w:color="auto"/>
        <w:right w:val="none" w:sz="0" w:space="0" w:color="auto"/>
      </w:divBdr>
    </w:div>
    <w:div w:id="1449739322">
      <w:bodyDiv w:val="1"/>
      <w:marLeft w:val="0"/>
      <w:marRight w:val="0"/>
      <w:marTop w:val="0"/>
      <w:marBottom w:val="0"/>
      <w:divBdr>
        <w:top w:val="none" w:sz="0" w:space="0" w:color="auto"/>
        <w:left w:val="none" w:sz="0" w:space="0" w:color="auto"/>
        <w:bottom w:val="none" w:sz="0" w:space="0" w:color="auto"/>
        <w:right w:val="none" w:sz="0" w:space="0" w:color="auto"/>
      </w:divBdr>
      <w:divsChild>
        <w:div w:id="625696739">
          <w:marLeft w:val="274"/>
          <w:marRight w:val="0"/>
          <w:marTop w:val="150"/>
          <w:marBottom w:val="0"/>
          <w:divBdr>
            <w:top w:val="none" w:sz="0" w:space="0" w:color="auto"/>
            <w:left w:val="none" w:sz="0" w:space="0" w:color="auto"/>
            <w:bottom w:val="none" w:sz="0" w:space="0" w:color="auto"/>
            <w:right w:val="none" w:sz="0" w:space="0" w:color="auto"/>
          </w:divBdr>
        </w:div>
        <w:div w:id="1499150423">
          <w:marLeft w:val="274"/>
          <w:marRight w:val="0"/>
          <w:marTop w:val="150"/>
          <w:marBottom w:val="0"/>
          <w:divBdr>
            <w:top w:val="none" w:sz="0" w:space="0" w:color="auto"/>
            <w:left w:val="none" w:sz="0" w:space="0" w:color="auto"/>
            <w:bottom w:val="none" w:sz="0" w:space="0" w:color="auto"/>
            <w:right w:val="none" w:sz="0" w:space="0" w:color="auto"/>
          </w:divBdr>
        </w:div>
        <w:div w:id="209126813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D2ED.4C404EA0"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C0CA84-9F3D-4F4D-A8C8-CDAED2B6233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06884F19-A9CD-4560-8885-7D4B2D9517C6}">
      <dgm:prSet phldrT="[Text]"/>
      <dgm:spPr/>
      <dgm:t>
        <a:bodyPr/>
        <a:lstStyle/>
        <a:p>
          <a:r>
            <a:rPr lang="en-US"/>
            <a:t>Top 10 states based on Composite Indicator Scores (in ranked order)</a:t>
          </a:r>
        </a:p>
      </dgm:t>
    </dgm:pt>
    <dgm:pt modelId="{B21DE23E-76DD-4F21-9DFD-6E946185EF0A}" type="parTrans" cxnId="{F200A75E-52DA-47BD-8307-E845632B2D3D}">
      <dgm:prSet/>
      <dgm:spPr/>
      <dgm:t>
        <a:bodyPr/>
        <a:lstStyle/>
        <a:p>
          <a:endParaRPr lang="en-US"/>
        </a:p>
      </dgm:t>
    </dgm:pt>
    <dgm:pt modelId="{110DFC11-6DBA-4EBB-9324-9ACC0B688A33}" type="sibTrans" cxnId="{F200A75E-52DA-47BD-8307-E845632B2D3D}">
      <dgm:prSet/>
      <dgm:spPr/>
      <dgm:t>
        <a:bodyPr/>
        <a:lstStyle/>
        <a:p>
          <a:endParaRPr lang="en-US"/>
        </a:p>
      </dgm:t>
    </dgm:pt>
    <dgm:pt modelId="{E2400654-2082-4B14-B5C0-404004762005}">
      <dgm:prSet phldrT="[Text]" custT="1"/>
      <dgm:spPr/>
      <dgm:t>
        <a:bodyPr/>
        <a:lstStyle/>
        <a:p>
          <a:r>
            <a:rPr lang="en-US" sz="1200" b="1">
              <a:solidFill>
                <a:sysClr val="windowText" lastClr="000000"/>
              </a:solidFill>
            </a:rPr>
            <a:t>Maryland </a:t>
          </a:r>
        </a:p>
      </dgm:t>
    </dgm:pt>
    <dgm:pt modelId="{4ECE2AC1-AE8D-40D0-A166-FD71DBBB3ABE}" type="parTrans" cxnId="{53116A53-59A6-439B-8349-84DDC653D60B}">
      <dgm:prSet/>
      <dgm:spPr/>
      <dgm:t>
        <a:bodyPr/>
        <a:lstStyle/>
        <a:p>
          <a:endParaRPr lang="en-US"/>
        </a:p>
      </dgm:t>
    </dgm:pt>
    <dgm:pt modelId="{AAE62FD0-E0D2-48CB-96A7-4AB4D19EA855}" type="sibTrans" cxnId="{53116A53-59A6-439B-8349-84DDC653D60B}">
      <dgm:prSet/>
      <dgm:spPr/>
      <dgm:t>
        <a:bodyPr/>
        <a:lstStyle/>
        <a:p>
          <a:endParaRPr lang="en-US"/>
        </a:p>
      </dgm:t>
    </dgm:pt>
    <dgm:pt modelId="{CC28A11F-8D53-491D-AD32-F48530702B72}">
      <dgm:prSet phldrT="[Text]"/>
      <dgm:spPr/>
      <dgm:t>
        <a:bodyPr/>
        <a:lstStyle/>
        <a:p>
          <a:r>
            <a:rPr lang="en-US"/>
            <a:t>Top IDD System Performers</a:t>
          </a:r>
        </a:p>
      </dgm:t>
    </dgm:pt>
    <dgm:pt modelId="{DEF7585E-B58B-4525-958B-B6ADC8E5F0AB}" type="parTrans" cxnId="{B1A1E5C6-0AD8-4792-8D79-557B8AB9265B}">
      <dgm:prSet/>
      <dgm:spPr/>
      <dgm:t>
        <a:bodyPr/>
        <a:lstStyle/>
        <a:p>
          <a:endParaRPr lang="en-US"/>
        </a:p>
      </dgm:t>
    </dgm:pt>
    <dgm:pt modelId="{4E16C4BD-42B0-4ED5-AA30-2002C889B41F}" type="sibTrans" cxnId="{B1A1E5C6-0AD8-4792-8D79-557B8AB9265B}">
      <dgm:prSet/>
      <dgm:spPr/>
      <dgm:t>
        <a:bodyPr/>
        <a:lstStyle/>
        <a:p>
          <a:endParaRPr lang="en-US"/>
        </a:p>
      </dgm:t>
    </dgm:pt>
    <dgm:pt modelId="{8E2DE19D-C272-47F9-961E-D35C197EF127}">
      <dgm:prSet phldrT="[Text]" custT="1"/>
      <dgm:spPr/>
      <dgm:t>
        <a:bodyPr/>
        <a:lstStyle/>
        <a:p>
          <a:r>
            <a:rPr lang="en-US" sz="1200" b="1">
              <a:solidFill>
                <a:sysClr val="windowText" lastClr="000000"/>
              </a:solidFill>
            </a:rPr>
            <a:t>Maryland</a:t>
          </a:r>
          <a:r>
            <a:rPr lang="en-US" sz="1200" b="0"/>
            <a:t>	</a:t>
          </a:r>
        </a:p>
      </dgm:t>
    </dgm:pt>
    <dgm:pt modelId="{603DF991-E054-467C-BBC4-B5C38CC0CA97}" type="parTrans" cxnId="{F58FCF07-9A94-4EB8-B2BE-097AA71B0540}">
      <dgm:prSet/>
      <dgm:spPr/>
      <dgm:t>
        <a:bodyPr/>
        <a:lstStyle/>
        <a:p>
          <a:endParaRPr lang="en-US"/>
        </a:p>
      </dgm:t>
    </dgm:pt>
    <dgm:pt modelId="{F47FE112-CBD5-4686-AB20-7153BE563C34}" type="sibTrans" cxnId="{F58FCF07-9A94-4EB8-B2BE-097AA71B0540}">
      <dgm:prSet/>
      <dgm:spPr/>
      <dgm:t>
        <a:bodyPr/>
        <a:lstStyle/>
        <a:p>
          <a:endParaRPr lang="en-US"/>
        </a:p>
      </dgm:t>
    </dgm:pt>
    <dgm:pt modelId="{8BB3F450-1057-4ED2-BAB0-5C7230BF6095}">
      <dgm:prSet phldrT="[Text]" custT="1"/>
      <dgm:spPr/>
      <dgm:t>
        <a:bodyPr/>
        <a:lstStyle/>
        <a:p>
          <a:r>
            <a:rPr lang="en-US" sz="1200" b="1"/>
            <a:t>New Hampshire</a:t>
          </a:r>
        </a:p>
      </dgm:t>
    </dgm:pt>
    <dgm:pt modelId="{F1D60E49-1BE9-482C-A21D-FAD356C23AA9}" type="parTrans" cxnId="{B1700340-1457-4A59-BB13-736115F95EE4}">
      <dgm:prSet/>
      <dgm:spPr/>
      <dgm:t>
        <a:bodyPr/>
        <a:lstStyle/>
        <a:p>
          <a:endParaRPr lang="en-US"/>
        </a:p>
      </dgm:t>
    </dgm:pt>
    <dgm:pt modelId="{83111544-3986-48F4-8361-9747B32498A6}" type="sibTrans" cxnId="{B1700340-1457-4A59-BB13-736115F95EE4}">
      <dgm:prSet/>
      <dgm:spPr/>
      <dgm:t>
        <a:bodyPr/>
        <a:lstStyle/>
        <a:p>
          <a:endParaRPr lang="en-US"/>
        </a:p>
      </dgm:t>
    </dgm:pt>
    <dgm:pt modelId="{64BF67F5-9F5C-429B-8B68-79C3A480F339}">
      <dgm:prSet phldrT="[Text]"/>
      <dgm:spPr/>
      <dgm:t>
        <a:bodyPr/>
        <a:lstStyle/>
        <a:p>
          <a:r>
            <a:rPr lang="en-US"/>
            <a:t>Top  VR system performers</a:t>
          </a:r>
        </a:p>
      </dgm:t>
    </dgm:pt>
    <dgm:pt modelId="{7CB39CB2-7EFE-4460-BCFC-0F6383D22017}" type="parTrans" cxnId="{26E39A63-8292-4263-A5FB-15BACBD334CC}">
      <dgm:prSet/>
      <dgm:spPr/>
      <dgm:t>
        <a:bodyPr/>
        <a:lstStyle/>
        <a:p>
          <a:endParaRPr lang="en-US"/>
        </a:p>
      </dgm:t>
    </dgm:pt>
    <dgm:pt modelId="{E6A4F059-E541-41F2-91CC-3FA123E946CF}" type="sibTrans" cxnId="{26E39A63-8292-4263-A5FB-15BACBD334CC}">
      <dgm:prSet/>
      <dgm:spPr/>
      <dgm:t>
        <a:bodyPr/>
        <a:lstStyle/>
        <a:p>
          <a:endParaRPr lang="en-US"/>
        </a:p>
      </dgm:t>
    </dgm:pt>
    <dgm:pt modelId="{2654428A-FE6A-45FD-9D4C-23620C1E4EE4}">
      <dgm:prSet phldrT="[Text]" custT="1"/>
      <dgm:spPr/>
      <dgm:t>
        <a:bodyPr/>
        <a:lstStyle/>
        <a:p>
          <a:r>
            <a:rPr lang="en-US" sz="1200" b="1"/>
            <a:t>Maryland</a:t>
          </a:r>
        </a:p>
      </dgm:t>
    </dgm:pt>
    <dgm:pt modelId="{AE1415CF-B168-449C-BC4B-D85608117083}" type="parTrans" cxnId="{163E94FE-D4DD-40B8-A27D-AFC07906404F}">
      <dgm:prSet/>
      <dgm:spPr/>
      <dgm:t>
        <a:bodyPr/>
        <a:lstStyle/>
        <a:p>
          <a:endParaRPr lang="en-US"/>
        </a:p>
      </dgm:t>
    </dgm:pt>
    <dgm:pt modelId="{B6457002-D018-4128-BC81-6B04C87600AE}" type="sibTrans" cxnId="{163E94FE-D4DD-40B8-A27D-AFC07906404F}">
      <dgm:prSet/>
      <dgm:spPr/>
      <dgm:t>
        <a:bodyPr/>
        <a:lstStyle/>
        <a:p>
          <a:endParaRPr lang="en-US"/>
        </a:p>
      </dgm:t>
    </dgm:pt>
    <dgm:pt modelId="{B91201E5-C9B6-4DC5-8DF1-0110412E3095}">
      <dgm:prSet phldrT="[Text]" custT="1"/>
      <dgm:spPr/>
      <dgm:t>
        <a:bodyPr/>
        <a:lstStyle/>
        <a:p>
          <a:r>
            <a:rPr lang="en-US" sz="1200" b="1"/>
            <a:t>South Dakota</a:t>
          </a:r>
        </a:p>
      </dgm:t>
    </dgm:pt>
    <dgm:pt modelId="{3C87EF34-AB59-4B87-902A-770EA9802538}" type="parTrans" cxnId="{B3FE2552-F81C-400E-A747-8C7B82B7DE91}">
      <dgm:prSet/>
      <dgm:spPr/>
      <dgm:t>
        <a:bodyPr/>
        <a:lstStyle/>
        <a:p>
          <a:endParaRPr lang="en-US"/>
        </a:p>
      </dgm:t>
    </dgm:pt>
    <dgm:pt modelId="{4285C62F-93AA-47F4-9059-27603B706511}" type="sibTrans" cxnId="{B3FE2552-F81C-400E-A747-8C7B82B7DE91}">
      <dgm:prSet/>
      <dgm:spPr/>
      <dgm:t>
        <a:bodyPr/>
        <a:lstStyle/>
        <a:p>
          <a:endParaRPr lang="en-US"/>
        </a:p>
      </dgm:t>
    </dgm:pt>
    <dgm:pt modelId="{58B04A4C-21AD-4BA4-AF87-3E9E789475D5}">
      <dgm:prSet custT="1"/>
      <dgm:spPr/>
      <dgm:t>
        <a:bodyPr/>
        <a:lstStyle/>
        <a:p>
          <a:r>
            <a:rPr lang="en-US" sz="1200" b="1">
              <a:solidFill>
                <a:sysClr val="windowText" lastClr="000000"/>
              </a:solidFill>
            </a:rPr>
            <a:t>New Hampshire </a:t>
          </a:r>
        </a:p>
      </dgm:t>
    </dgm:pt>
    <dgm:pt modelId="{67CE52EE-97B9-4C32-9EBE-FABB6D8ED47E}" type="parTrans" cxnId="{92846742-C7AD-477E-ACDD-701E30ED66C3}">
      <dgm:prSet/>
      <dgm:spPr/>
      <dgm:t>
        <a:bodyPr/>
        <a:lstStyle/>
        <a:p>
          <a:endParaRPr lang="en-US"/>
        </a:p>
      </dgm:t>
    </dgm:pt>
    <dgm:pt modelId="{AA79A635-AA69-4963-BDDE-D92A07FF2B9B}" type="sibTrans" cxnId="{92846742-C7AD-477E-ACDD-701E30ED66C3}">
      <dgm:prSet/>
      <dgm:spPr/>
      <dgm:t>
        <a:bodyPr/>
        <a:lstStyle/>
        <a:p>
          <a:endParaRPr lang="en-US"/>
        </a:p>
      </dgm:t>
    </dgm:pt>
    <dgm:pt modelId="{11EE26EC-CF8D-4A53-A4D2-7D4E0BE39D0B}">
      <dgm:prSet custT="1"/>
      <dgm:spPr/>
      <dgm:t>
        <a:bodyPr/>
        <a:lstStyle/>
        <a:p>
          <a:r>
            <a:rPr lang="en-US" sz="1200" b="0"/>
            <a:t>Vermont</a:t>
          </a:r>
        </a:p>
      </dgm:t>
    </dgm:pt>
    <dgm:pt modelId="{F61CC155-BB1D-467C-BCA0-1434577E7F3C}" type="parTrans" cxnId="{3F6FC879-3718-45EF-BA5F-51E56E9EBA84}">
      <dgm:prSet/>
      <dgm:spPr/>
      <dgm:t>
        <a:bodyPr/>
        <a:lstStyle/>
        <a:p>
          <a:endParaRPr lang="en-US"/>
        </a:p>
      </dgm:t>
    </dgm:pt>
    <dgm:pt modelId="{3335A865-8536-4BCF-9415-948CB5FFE333}" type="sibTrans" cxnId="{3F6FC879-3718-45EF-BA5F-51E56E9EBA84}">
      <dgm:prSet/>
      <dgm:spPr/>
      <dgm:t>
        <a:bodyPr/>
        <a:lstStyle/>
        <a:p>
          <a:endParaRPr lang="en-US"/>
        </a:p>
      </dgm:t>
    </dgm:pt>
    <dgm:pt modelId="{5154D14C-335C-4067-BA72-58A4254E4505}">
      <dgm:prSet custT="1"/>
      <dgm:spPr/>
      <dgm:t>
        <a:bodyPr/>
        <a:lstStyle/>
        <a:p>
          <a:r>
            <a:rPr lang="en-US" sz="1200" b="0"/>
            <a:t>Oregon </a:t>
          </a:r>
        </a:p>
      </dgm:t>
    </dgm:pt>
    <dgm:pt modelId="{197058D3-1232-423F-A319-A1BCE317C80A}" type="parTrans" cxnId="{68B88E66-5EC9-4265-A382-8A7C7526D558}">
      <dgm:prSet/>
      <dgm:spPr/>
      <dgm:t>
        <a:bodyPr/>
        <a:lstStyle/>
        <a:p>
          <a:endParaRPr lang="en-US"/>
        </a:p>
      </dgm:t>
    </dgm:pt>
    <dgm:pt modelId="{6A182472-A1C4-4858-9A6A-21E0FC40B1E2}" type="sibTrans" cxnId="{68B88E66-5EC9-4265-A382-8A7C7526D558}">
      <dgm:prSet/>
      <dgm:spPr/>
      <dgm:t>
        <a:bodyPr/>
        <a:lstStyle/>
        <a:p>
          <a:endParaRPr lang="en-US"/>
        </a:p>
      </dgm:t>
    </dgm:pt>
    <dgm:pt modelId="{318A70E9-0C85-43ED-A7AA-169558FCCD20}">
      <dgm:prSet custT="1"/>
      <dgm:spPr/>
      <dgm:t>
        <a:bodyPr/>
        <a:lstStyle/>
        <a:p>
          <a:r>
            <a:rPr lang="en-US" sz="1200" b="0"/>
            <a:t>Washington </a:t>
          </a:r>
        </a:p>
      </dgm:t>
    </dgm:pt>
    <dgm:pt modelId="{78EE0744-B28A-4B1E-AEEC-A98B1848AA2B}" type="parTrans" cxnId="{0FDC36F0-FCF8-425D-98A8-AEA3E98F2C24}">
      <dgm:prSet/>
      <dgm:spPr/>
      <dgm:t>
        <a:bodyPr/>
        <a:lstStyle/>
        <a:p>
          <a:endParaRPr lang="en-US"/>
        </a:p>
      </dgm:t>
    </dgm:pt>
    <dgm:pt modelId="{D52E0AC1-7A04-42C8-BA55-0113666CD49A}" type="sibTrans" cxnId="{0FDC36F0-FCF8-425D-98A8-AEA3E98F2C24}">
      <dgm:prSet/>
      <dgm:spPr/>
      <dgm:t>
        <a:bodyPr/>
        <a:lstStyle/>
        <a:p>
          <a:endParaRPr lang="en-US"/>
        </a:p>
      </dgm:t>
    </dgm:pt>
    <dgm:pt modelId="{50825944-D334-4A05-813C-1AA47104FCFD}">
      <dgm:prSet custT="1"/>
      <dgm:spPr/>
      <dgm:t>
        <a:bodyPr/>
        <a:lstStyle/>
        <a:p>
          <a:r>
            <a:rPr lang="en-US" sz="1200" b="0"/>
            <a:t>Iowa</a:t>
          </a:r>
        </a:p>
      </dgm:t>
    </dgm:pt>
    <dgm:pt modelId="{EB3D70E2-5BC3-4F2F-B534-49FBCE83D9A0}" type="parTrans" cxnId="{73579F38-9CC0-4E22-AEA2-D2125B2EBFC9}">
      <dgm:prSet/>
      <dgm:spPr/>
      <dgm:t>
        <a:bodyPr/>
        <a:lstStyle/>
        <a:p>
          <a:endParaRPr lang="en-US"/>
        </a:p>
      </dgm:t>
    </dgm:pt>
    <dgm:pt modelId="{36173D7C-B601-4256-BFD5-975B843E8696}" type="sibTrans" cxnId="{73579F38-9CC0-4E22-AEA2-D2125B2EBFC9}">
      <dgm:prSet/>
      <dgm:spPr/>
      <dgm:t>
        <a:bodyPr/>
        <a:lstStyle/>
        <a:p>
          <a:endParaRPr lang="en-US"/>
        </a:p>
      </dgm:t>
    </dgm:pt>
    <dgm:pt modelId="{DE0F3C0D-E065-40AB-B843-A7125345704C}">
      <dgm:prSet custT="1"/>
      <dgm:spPr/>
      <dgm:t>
        <a:bodyPr/>
        <a:lstStyle/>
        <a:p>
          <a:r>
            <a:rPr lang="en-US" sz="1200" b="0"/>
            <a:t>Oklahoma</a:t>
          </a:r>
        </a:p>
      </dgm:t>
    </dgm:pt>
    <dgm:pt modelId="{13250540-6B9A-4E54-8ED7-A507E326C30A}" type="parTrans" cxnId="{1708910F-D65C-4438-9277-3018B5F50F8A}">
      <dgm:prSet/>
      <dgm:spPr/>
      <dgm:t>
        <a:bodyPr/>
        <a:lstStyle/>
        <a:p>
          <a:endParaRPr lang="en-US"/>
        </a:p>
      </dgm:t>
    </dgm:pt>
    <dgm:pt modelId="{7BCCA389-D257-4C32-8642-7789E88D351E}" type="sibTrans" cxnId="{1708910F-D65C-4438-9277-3018B5F50F8A}">
      <dgm:prSet/>
      <dgm:spPr/>
      <dgm:t>
        <a:bodyPr/>
        <a:lstStyle/>
        <a:p>
          <a:endParaRPr lang="en-US"/>
        </a:p>
      </dgm:t>
    </dgm:pt>
    <dgm:pt modelId="{30CA3814-3F4D-4A65-8C32-013664C0D200}">
      <dgm:prSet custT="1"/>
      <dgm:spPr/>
      <dgm:t>
        <a:bodyPr/>
        <a:lstStyle/>
        <a:p>
          <a:r>
            <a:rPr lang="en-US" sz="1200" b="1"/>
            <a:t>South Dakota </a:t>
          </a:r>
        </a:p>
      </dgm:t>
    </dgm:pt>
    <dgm:pt modelId="{AA229512-09A3-4ED7-8EE5-BA053534E023}" type="parTrans" cxnId="{2CAAAD98-D4C0-4DF3-9C29-A9FF5CD6A89C}">
      <dgm:prSet/>
      <dgm:spPr/>
      <dgm:t>
        <a:bodyPr/>
        <a:lstStyle/>
        <a:p>
          <a:endParaRPr lang="en-US"/>
        </a:p>
      </dgm:t>
    </dgm:pt>
    <dgm:pt modelId="{80D79D3D-2150-4F9B-B0F9-D3486FF5241C}" type="sibTrans" cxnId="{2CAAAD98-D4C0-4DF3-9C29-A9FF5CD6A89C}">
      <dgm:prSet/>
      <dgm:spPr/>
      <dgm:t>
        <a:bodyPr/>
        <a:lstStyle/>
        <a:p>
          <a:endParaRPr lang="en-US"/>
        </a:p>
      </dgm:t>
    </dgm:pt>
    <dgm:pt modelId="{2142E8D1-CA23-4A69-85D4-47568DFD88C0}">
      <dgm:prSet custT="1"/>
      <dgm:spPr/>
      <dgm:t>
        <a:bodyPr/>
        <a:lstStyle/>
        <a:p>
          <a:r>
            <a:rPr lang="en-US" sz="1200" b="1"/>
            <a:t>Colorado</a:t>
          </a:r>
        </a:p>
      </dgm:t>
    </dgm:pt>
    <dgm:pt modelId="{154C635B-0716-4B4F-867B-5476EE3ADD89}" type="parTrans" cxnId="{CAC30788-10AD-4578-B7FB-3B018FF9D6DA}">
      <dgm:prSet/>
      <dgm:spPr/>
      <dgm:t>
        <a:bodyPr/>
        <a:lstStyle/>
        <a:p>
          <a:endParaRPr lang="en-US"/>
        </a:p>
      </dgm:t>
    </dgm:pt>
    <dgm:pt modelId="{D230EAAE-4169-4290-BA10-860E66A1B27C}" type="sibTrans" cxnId="{CAC30788-10AD-4578-B7FB-3B018FF9D6DA}">
      <dgm:prSet/>
      <dgm:spPr/>
      <dgm:t>
        <a:bodyPr/>
        <a:lstStyle/>
        <a:p>
          <a:endParaRPr lang="en-US"/>
        </a:p>
      </dgm:t>
    </dgm:pt>
    <dgm:pt modelId="{A4994FC7-B98E-4FDE-A99F-467D3EE849CF}">
      <dgm:prSet custT="1"/>
      <dgm:spPr/>
      <dgm:t>
        <a:bodyPr/>
        <a:lstStyle/>
        <a:p>
          <a:r>
            <a:rPr lang="en-US" sz="1200" b="0"/>
            <a:t>Delaware</a:t>
          </a:r>
        </a:p>
      </dgm:t>
    </dgm:pt>
    <dgm:pt modelId="{2A1BA5FF-D062-4584-B266-5A5519B702F7}" type="parTrans" cxnId="{2D20DFFC-F1DF-48B1-A302-49F51DA5BC24}">
      <dgm:prSet/>
      <dgm:spPr/>
      <dgm:t>
        <a:bodyPr/>
        <a:lstStyle/>
        <a:p>
          <a:endParaRPr lang="en-US"/>
        </a:p>
      </dgm:t>
    </dgm:pt>
    <dgm:pt modelId="{0BB92F93-7632-4345-8A11-FD6583259CF1}" type="sibTrans" cxnId="{2D20DFFC-F1DF-48B1-A302-49F51DA5BC24}">
      <dgm:prSet/>
      <dgm:spPr/>
      <dgm:t>
        <a:bodyPr/>
        <a:lstStyle/>
        <a:p>
          <a:endParaRPr lang="en-US"/>
        </a:p>
      </dgm:t>
    </dgm:pt>
    <dgm:pt modelId="{926529B6-6D89-475F-82DA-226D7EF37DA8}">
      <dgm:prSet phldrT="[Text]" custT="1"/>
      <dgm:spPr/>
      <dgm:t>
        <a:bodyPr/>
        <a:lstStyle/>
        <a:p>
          <a:r>
            <a:rPr lang="en-US" sz="1200" b="0"/>
            <a:t>Vermont</a:t>
          </a:r>
        </a:p>
      </dgm:t>
    </dgm:pt>
    <dgm:pt modelId="{5EC42874-6686-4F59-9818-F36A9B9D1C8A}" type="parTrans" cxnId="{847BC959-BA05-4167-B946-0CE01177B61D}">
      <dgm:prSet/>
      <dgm:spPr/>
      <dgm:t>
        <a:bodyPr/>
        <a:lstStyle/>
        <a:p>
          <a:endParaRPr lang="en-US"/>
        </a:p>
      </dgm:t>
    </dgm:pt>
    <dgm:pt modelId="{64715B90-E2FB-4909-BDB8-A80BF5A6244C}" type="sibTrans" cxnId="{847BC959-BA05-4167-B946-0CE01177B61D}">
      <dgm:prSet/>
      <dgm:spPr/>
      <dgm:t>
        <a:bodyPr/>
        <a:lstStyle/>
        <a:p>
          <a:endParaRPr lang="en-US"/>
        </a:p>
      </dgm:t>
    </dgm:pt>
    <dgm:pt modelId="{19787CA8-2B6D-401B-98F7-8CEF338F0FB6}">
      <dgm:prSet phldrT="[Text]" custT="1"/>
      <dgm:spPr/>
      <dgm:t>
        <a:bodyPr/>
        <a:lstStyle/>
        <a:p>
          <a:r>
            <a:rPr lang="en-US" sz="1200" b="0"/>
            <a:t>Oregon</a:t>
          </a:r>
        </a:p>
      </dgm:t>
    </dgm:pt>
    <dgm:pt modelId="{80C7461E-BB40-4580-8A8D-0D2F37C42EE4}" type="parTrans" cxnId="{4FF3578F-503C-4997-95AD-85E16BAD38B8}">
      <dgm:prSet/>
      <dgm:spPr/>
      <dgm:t>
        <a:bodyPr/>
        <a:lstStyle/>
        <a:p>
          <a:endParaRPr lang="en-US"/>
        </a:p>
      </dgm:t>
    </dgm:pt>
    <dgm:pt modelId="{10ACC30E-70D2-4916-A96A-81B3E77FD465}" type="sibTrans" cxnId="{4FF3578F-503C-4997-95AD-85E16BAD38B8}">
      <dgm:prSet/>
      <dgm:spPr/>
      <dgm:t>
        <a:bodyPr/>
        <a:lstStyle/>
        <a:p>
          <a:endParaRPr lang="en-US"/>
        </a:p>
      </dgm:t>
    </dgm:pt>
    <dgm:pt modelId="{CC4FABF4-D95B-4646-A958-2CBF29934A48}">
      <dgm:prSet phldrT="[Text]" custT="1"/>
      <dgm:spPr/>
      <dgm:t>
        <a:bodyPr/>
        <a:lstStyle/>
        <a:p>
          <a:r>
            <a:rPr lang="en-US" sz="1200" b="0"/>
            <a:t>Washington</a:t>
          </a:r>
        </a:p>
      </dgm:t>
    </dgm:pt>
    <dgm:pt modelId="{3BC7EFAB-7468-4F0A-A793-195A68509F9F}" type="parTrans" cxnId="{3AA88F38-4041-49AA-9354-1E47C0F6C136}">
      <dgm:prSet/>
      <dgm:spPr/>
      <dgm:t>
        <a:bodyPr/>
        <a:lstStyle/>
        <a:p>
          <a:endParaRPr lang="en-US"/>
        </a:p>
      </dgm:t>
    </dgm:pt>
    <dgm:pt modelId="{FEE891AC-FDF4-43A0-B1E4-8D1612D87441}" type="sibTrans" cxnId="{3AA88F38-4041-49AA-9354-1E47C0F6C136}">
      <dgm:prSet/>
      <dgm:spPr/>
      <dgm:t>
        <a:bodyPr/>
        <a:lstStyle/>
        <a:p>
          <a:endParaRPr lang="en-US"/>
        </a:p>
      </dgm:t>
    </dgm:pt>
    <dgm:pt modelId="{0CDEA3F1-7AA5-4D2A-BE19-F36175C843CD}">
      <dgm:prSet phldrT="[Text]" custT="1"/>
      <dgm:spPr/>
      <dgm:t>
        <a:bodyPr/>
        <a:lstStyle/>
        <a:p>
          <a:r>
            <a:rPr lang="en-US" sz="1200" b="0"/>
            <a:t>Oklahoma</a:t>
          </a:r>
        </a:p>
      </dgm:t>
    </dgm:pt>
    <dgm:pt modelId="{4734D4ED-0D6E-4452-AAA9-6D68C83E7D7C}" type="parTrans" cxnId="{DF1BF925-432F-4F02-96D4-E351A4479471}">
      <dgm:prSet/>
      <dgm:spPr/>
      <dgm:t>
        <a:bodyPr/>
        <a:lstStyle/>
        <a:p>
          <a:endParaRPr lang="en-US"/>
        </a:p>
      </dgm:t>
    </dgm:pt>
    <dgm:pt modelId="{35EA4DD2-FF11-4B26-9A0B-0C9026EDB80A}" type="sibTrans" cxnId="{DF1BF925-432F-4F02-96D4-E351A4479471}">
      <dgm:prSet/>
      <dgm:spPr/>
      <dgm:t>
        <a:bodyPr/>
        <a:lstStyle/>
        <a:p>
          <a:endParaRPr lang="en-US"/>
        </a:p>
      </dgm:t>
    </dgm:pt>
    <dgm:pt modelId="{5B26A6C8-9061-4104-93D1-D3A859C78140}">
      <dgm:prSet phldrT="[Text]" custT="1"/>
      <dgm:spPr/>
      <dgm:t>
        <a:bodyPr/>
        <a:lstStyle/>
        <a:p>
          <a:r>
            <a:rPr lang="en-US" sz="1200" b="1"/>
            <a:t>Colorado</a:t>
          </a:r>
        </a:p>
      </dgm:t>
    </dgm:pt>
    <dgm:pt modelId="{431DD342-E5DB-4BCF-85FC-D1DB48EC1716}" type="parTrans" cxnId="{35366A11-AA37-4A8E-AD56-5A7BA2177004}">
      <dgm:prSet/>
      <dgm:spPr/>
      <dgm:t>
        <a:bodyPr/>
        <a:lstStyle/>
        <a:p>
          <a:endParaRPr lang="en-US"/>
        </a:p>
      </dgm:t>
    </dgm:pt>
    <dgm:pt modelId="{C1A35777-D459-431A-9B97-DA53883BFC6E}" type="sibTrans" cxnId="{35366A11-AA37-4A8E-AD56-5A7BA2177004}">
      <dgm:prSet/>
      <dgm:spPr/>
      <dgm:t>
        <a:bodyPr/>
        <a:lstStyle/>
        <a:p>
          <a:endParaRPr lang="en-US"/>
        </a:p>
      </dgm:t>
    </dgm:pt>
    <dgm:pt modelId="{8FFAD5CD-ECB2-4343-961E-28585AB6929D}">
      <dgm:prSet phldrT="[Text]" custT="1"/>
      <dgm:spPr/>
      <dgm:t>
        <a:bodyPr/>
        <a:lstStyle/>
        <a:p>
          <a:r>
            <a:rPr lang="en-US" sz="1200" b="0"/>
            <a:t>Delaware</a:t>
          </a:r>
        </a:p>
      </dgm:t>
    </dgm:pt>
    <dgm:pt modelId="{22D7A18B-8148-443C-824B-5EF193746E3D}" type="parTrans" cxnId="{67D4AD57-1E05-46C5-8BBF-22844A71FF3E}">
      <dgm:prSet/>
      <dgm:spPr/>
      <dgm:t>
        <a:bodyPr/>
        <a:lstStyle/>
        <a:p>
          <a:endParaRPr lang="en-US"/>
        </a:p>
      </dgm:t>
    </dgm:pt>
    <dgm:pt modelId="{07138A7D-18FB-4886-B31B-8468C8350208}" type="sibTrans" cxnId="{67D4AD57-1E05-46C5-8BBF-22844A71FF3E}">
      <dgm:prSet/>
      <dgm:spPr/>
      <dgm:t>
        <a:bodyPr/>
        <a:lstStyle/>
        <a:p>
          <a:endParaRPr lang="en-US"/>
        </a:p>
      </dgm:t>
    </dgm:pt>
    <dgm:pt modelId="{1B8170BA-059A-424E-975D-8B9AA733B5A2}">
      <dgm:prSet/>
      <dgm:spPr/>
      <dgm:t>
        <a:bodyPr/>
        <a:lstStyle/>
        <a:p>
          <a:r>
            <a:rPr lang="en-US"/>
            <a:t>Top education system performers</a:t>
          </a:r>
        </a:p>
      </dgm:t>
    </dgm:pt>
    <dgm:pt modelId="{1F280AB8-34FB-4D96-9649-5B57CD69B2ED}" type="parTrans" cxnId="{EB9FCB05-5EC9-4991-A884-DA62BBEF6541}">
      <dgm:prSet/>
      <dgm:spPr/>
      <dgm:t>
        <a:bodyPr/>
        <a:lstStyle/>
        <a:p>
          <a:endParaRPr lang="en-US"/>
        </a:p>
      </dgm:t>
    </dgm:pt>
    <dgm:pt modelId="{CFCC5074-2951-48BE-9D19-4E9973EFF906}" type="sibTrans" cxnId="{EB9FCB05-5EC9-4991-A884-DA62BBEF6541}">
      <dgm:prSet/>
      <dgm:spPr/>
      <dgm:t>
        <a:bodyPr/>
        <a:lstStyle/>
        <a:p>
          <a:endParaRPr lang="en-US"/>
        </a:p>
      </dgm:t>
    </dgm:pt>
    <dgm:pt modelId="{A5DFF915-2572-42F4-ADA9-D086EEB9D664}">
      <dgm:prSet custT="1"/>
      <dgm:spPr/>
      <dgm:t>
        <a:bodyPr/>
        <a:lstStyle/>
        <a:p>
          <a:r>
            <a:rPr lang="en-US" sz="1200" b="1"/>
            <a:t>New Hampshire</a:t>
          </a:r>
        </a:p>
      </dgm:t>
    </dgm:pt>
    <dgm:pt modelId="{64A419F3-8A66-40A5-9900-530BDDB4EBB5}" type="parTrans" cxnId="{4724B262-8AC7-415F-90D4-C72000F121FD}">
      <dgm:prSet/>
      <dgm:spPr/>
      <dgm:t>
        <a:bodyPr/>
        <a:lstStyle/>
        <a:p>
          <a:endParaRPr lang="en-US"/>
        </a:p>
      </dgm:t>
    </dgm:pt>
    <dgm:pt modelId="{E60677BA-80E3-4F61-B374-C5A46A5A1577}" type="sibTrans" cxnId="{4724B262-8AC7-415F-90D4-C72000F121FD}">
      <dgm:prSet/>
      <dgm:spPr/>
      <dgm:t>
        <a:bodyPr/>
        <a:lstStyle/>
        <a:p>
          <a:endParaRPr lang="en-US"/>
        </a:p>
      </dgm:t>
    </dgm:pt>
    <dgm:pt modelId="{147AC8CC-B87F-4486-8635-E4C0428D5AB9}">
      <dgm:prSet custT="1"/>
      <dgm:spPr/>
      <dgm:t>
        <a:bodyPr/>
        <a:lstStyle/>
        <a:p>
          <a:r>
            <a:rPr lang="en-US" sz="1200" b="0"/>
            <a:t>Iowa</a:t>
          </a:r>
        </a:p>
      </dgm:t>
    </dgm:pt>
    <dgm:pt modelId="{0A8F1F80-39C1-4085-B0E5-6F104979CC8B}" type="parTrans" cxnId="{3BE7F08B-3051-4A23-99D0-5B1E9A1398B3}">
      <dgm:prSet/>
      <dgm:spPr/>
      <dgm:t>
        <a:bodyPr/>
        <a:lstStyle/>
        <a:p>
          <a:endParaRPr lang="en-US"/>
        </a:p>
      </dgm:t>
    </dgm:pt>
    <dgm:pt modelId="{73B2A39E-6332-4AAC-AE78-9A2B87DBEC04}" type="sibTrans" cxnId="{3BE7F08B-3051-4A23-99D0-5B1E9A1398B3}">
      <dgm:prSet/>
      <dgm:spPr/>
      <dgm:t>
        <a:bodyPr/>
        <a:lstStyle/>
        <a:p>
          <a:endParaRPr lang="en-US"/>
        </a:p>
      </dgm:t>
    </dgm:pt>
    <dgm:pt modelId="{BF221A95-87E1-44CB-8D8B-A884BE1BABC7}">
      <dgm:prSet custT="1"/>
      <dgm:spPr/>
      <dgm:t>
        <a:bodyPr/>
        <a:lstStyle/>
        <a:p>
          <a:r>
            <a:rPr lang="en-US" sz="1200" b="1"/>
            <a:t>South Dakota</a:t>
          </a:r>
        </a:p>
      </dgm:t>
    </dgm:pt>
    <dgm:pt modelId="{5C4DC276-4C02-4A6D-80AA-48C1E576A46D}" type="parTrans" cxnId="{EB4CF22F-FA5A-4ABB-8C13-607CDDA19CC1}">
      <dgm:prSet/>
      <dgm:spPr/>
      <dgm:t>
        <a:bodyPr/>
        <a:lstStyle/>
        <a:p>
          <a:endParaRPr lang="en-US"/>
        </a:p>
      </dgm:t>
    </dgm:pt>
    <dgm:pt modelId="{40304080-5618-4F5F-9BB8-04697DFDFC14}" type="sibTrans" cxnId="{EB4CF22F-FA5A-4ABB-8C13-607CDDA19CC1}">
      <dgm:prSet/>
      <dgm:spPr/>
      <dgm:t>
        <a:bodyPr/>
        <a:lstStyle/>
        <a:p>
          <a:endParaRPr lang="en-US"/>
        </a:p>
      </dgm:t>
    </dgm:pt>
    <dgm:pt modelId="{3BE187BB-5AF6-49ED-AC10-250BD7318776}">
      <dgm:prSet custT="1"/>
      <dgm:spPr/>
      <dgm:t>
        <a:bodyPr/>
        <a:lstStyle/>
        <a:p>
          <a:r>
            <a:rPr lang="en-US" sz="1200" b="1"/>
            <a:t>Colorado</a:t>
          </a:r>
        </a:p>
      </dgm:t>
    </dgm:pt>
    <dgm:pt modelId="{3A298F4F-BAFE-4CA8-90CB-3B8D4D829903}" type="parTrans" cxnId="{2F2A4A4B-FC56-4F2D-9ED5-F315E42DCB86}">
      <dgm:prSet/>
      <dgm:spPr/>
      <dgm:t>
        <a:bodyPr/>
        <a:lstStyle/>
        <a:p>
          <a:endParaRPr lang="en-US"/>
        </a:p>
      </dgm:t>
    </dgm:pt>
    <dgm:pt modelId="{6C28556C-6422-4B35-8F34-E19B096A7BF4}" type="sibTrans" cxnId="{2F2A4A4B-FC56-4F2D-9ED5-F315E42DCB86}">
      <dgm:prSet/>
      <dgm:spPr/>
      <dgm:t>
        <a:bodyPr/>
        <a:lstStyle/>
        <a:p>
          <a:endParaRPr lang="en-US"/>
        </a:p>
      </dgm:t>
    </dgm:pt>
    <dgm:pt modelId="{3645DF94-D731-4AB9-8273-136D9159AAEF}" type="pres">
      <dgm:prSet presAssocID="{C1C0CA84-9F3D-4F4D-A8C8-CDAED2B6233E}" presName="Name0" presStyleCnt="0">
        <dgm:presLayoutVars>
          <dgm:dir/>
          <dgm:animLvl val="lvl"/>
          <dgm:resizeHandles val="exact"/>
        </dgm:presLayoutVars>
      </dgm:prSet>
      <dgm:spPr/>
      <dgm:t>
        <a:bodyPr/>
        <a:lstStyle/>
        <a:p>
          <a:endParaRPr lang="en-US"/>
        </a:p>
      </dgm:t>
    </dgm:pt>
    <dgm:pt modelId="{7E3A2FD9-200C-4578-8653-28F5B4DB7577}" type="pres">
      <dgm:prSet presAssocID="{06884F19-A9CD-4560-8885-7D4B2D9517C6}" presName="composite" presStyleCnt="0"/>
      <dgm:spPr/>
    </dgm:pt>
    <dgm:pt modelId="{63E112F8-7353-4D80-8F06-51272B4D731F}" type="pres">
      <dgm:prSet presAssocID="{06884F19-A9CD-4560-8885-7D4B2D9517C6}" presName="parTx" presStyleLbl="alignNode1" presStyleIdx="0" presStyleCnt="4">
        <dgm:presLayoutVars>
          <dgm:chMax val="0"/>
          <dgm:chPref val="0"/>
          <dgm:bulletEnabled val="1"/>
        </dgm:presLayoutVars>
      </dgm:prSet>
      <dgm:spPr/>
      <dgm:t>
        <a:bodyPr/>
        <a:lstStyle/>
        <a:p>
          <a:endParaRPr lang="en-US"/>
        </a:p>
      </dgm:t>
    </dgm:pt>
    <dgm:pt modelId="{67A3C2F1-F13A-4180-823C-25455B640FEA}" type="pres">
      <dgm:prSet presAssocID="{06884F19-A9CD-4560-8885-7D4B2D9517C6}" presName="desTx" presStyleLbl="alignAccFollowNode1" presStyleIdx="0" presStyleCnt="4">
        <dgm:presLayoutVars>
          <dgm:bulletEnabled val="1"/>
        </dgm:presLayoutVars>
      </dgm:prSet>
      <dgm:spPr/>
      <dgm:t>
        <a:bodyPr/>
        <a:lstStyle/>
        <a:p>
          <a:endParaRPr lang="en-US"/>
        </a:p>
      </dgm:t>
    </dgm:pt>
    <dgm:pt modelId="{69AFD8AD-CADC-46CD-9E4B-2B9FCE155743}" type="pres">
      <dgm:prSet presAssocID="{110DFC11-6DBA-4EBB-9324-9ACC0B688A33}" presName="space" presStyleCnt="0"/>
      <dgm:spPr/>
    </dgm:pt>
    <dgm:pt modelId="{75816272-20F8-46B9-A9A7-1401E7EDDCC7}" type="pres">
      <dgm:prSet presAssocID="{CC28A11F-8D53-491D-AD32-F48530702B72}" presName="composite" presStyleCnt="0"/>
      <dgm:spPr/>
    </dgm:pt>
    <dgm:pt modelId="{D70E3750-9134-421F-AA93-75C5AF1D58B3}" type="pres">
      <dgm:prSet presAssocID="{CC28A11F-8D53-491D-AD32-F48530702B72}" presName="parTx" presStyleLbl="alignNode1" presStyleIdx="1" presStyleCnt="4">
        <dgm:presLayoutVars>
          <dgm:chMax val="0"/>
          <dgm:chPref val="0"/>
          <dgm:bulletEnabled val="1"/>
        </dgm:presLayoutVars>
      </dgm:prSet>
      <dgm:spPr/>
      <dgm:t>
        <a:bodyPr/>
        <a:lstStyle/>
        <a:p>
          <a:endParaRPr lang="en-US"/>
        </a:p>
      </dgm:t>
    </dgm:pt>
    <dgm:pt modelId="{81C53A4E-38E1-4572-A4D4-5512736D6A6B}" type="pres">
      <dgm:prSet presAssocID="{CC28A11F-8D53-491D-AD32-F48530702B72}" presName="desTx" presStyleLbl="alignAccFollowNode1" presStyleIdx="1" presStyleCnt="4">
        <dgm:presLayoutVars>
          <dgm:bulletEnabled val="1"/>
        </dgm:presLayoutVars>
      </dgm:prSet>
      <dgm:spPr/>
      <dgm:t>
        <a:bodyPr/>
        <a:lstStyle/>
        <a:p>
          <a:endParaRPr lang="en-US"/>
        </a:p>
      </dgm:t>
    </dgm:pt>
    <dgm:pt modelId="{EA902A51-6126-42D1-A167-ED07CB634DEB}" type="pres">
      <dgm:prSet presAssocID="{4E16C4BD-42B0-4ED5-AA30-2002C889B41F}" presName="space" presStyleCnt="0"/>
      <dgm:spPr/>
    </dgm:pt>
    <dgm:pt modelId="{83D15152-D5F3-4DC2-87C1-2ED7F55B70CF}" type="pres">
      <dgm:prSet presAssocID="{64BF67F5-9F5C-429B-8B68-79C3A480F339}" presName="composite" presStyleCnt="0"/>
      <dgm:spPr/>
    </dgm:pt>
    <dgm:pt modelId="{26CE83C3-C67E-468D-B718-149937EC9DF8}" type="pres">
      <dgm:prSet presAssocID="{64BF67F5-9F5C-429B-8B68-79C3A480F339}" presName="parTx" presStyleLbl="alignNode1" presStyleIdx="2" presStyleCnt="4">
        <dgm:presLayoutVars>
          <dgm:chMax val="0"/>
          <dgm:chPref val="0"/>
          <dgm:bulletEnabled val="1"/>
        </dgm:presLayoutVars>
      </dgm:prSet>
      <dgm:spPr/>
      <dgm:t>
        <a:bodyPr/>
        <a:lstStyle/>
        <a:p>
          <a:endParaRPr lang="en-US"/>
        </a:p>
      </dgm:t>
    </dgm:pt>
    <dgm:pt modelId="{FDF8E9B2-78D9-4A34-8F3A-AF4412480DB5}" type="pres">
      <dgm:prSet presAssocID="{64BF67F5-9F5C-429B-8B68-79C3A480F339}" presName="desTx" presStyleLbl="alignAccFollowNode1" presStyleIdx="2" presStyleCnt="4">
        <dgm:presLayoutVars>
          <dgm:bulletEnabled val="1"/>
        </dgm:presLayoutVars>
      </dgm:prSet>
      <dgm:spPr/>
      <dgm:t>
        <a:bodyPr/>
        <a:lstStyle/>
        <a:p>
          <a:endParaRPr lang="en-US"/>
        </a:p>
      </dgm:t>
    </dgm:pt>
    <dgm:pt modelId="{8E09D6EB-8DCD-49B3-A6D7-984F0D005ED0}" type="pres">
      <dgm:prSet presAssocID="{E6A4F059-E541-41F2-91CC-3FA123E946CF}" presName="space" presStyleCnt="0"/>
      <dgm:spPr/>
    </dgm:pt>
    <dgm:pt modelId="{18E10C8E-2A8C-4B91-B8D8-3CC5FFE352F5}" type="pres">
      <dgm:prSet presAssocID="{1B8170BA-059A-424E-975D-8B9AA733B5A2}" presName="composite" presStyleCnt="0"/>
      <dgm:spPr/>
    </dgm:pt>
    <dgm:pt modelId="{9A84EBB1-04B1-4411-AA9B-45275B1D45CF}" type="pres">
      <dgm:prSet presAssocID="{1B8170BA-059A-424E-975D-8B9AA733B5A2}" presName="parTx" presStyleLbl="alignNode1" presStyleIdx="3" presStyleCnt="4">
        <dgm:presLayoutVars>
          <dgm:chMax val="0"/>
          <dgm:chPref val="0"/>
          <dgm:bulletEnabled val="1"/>
        </dgm:presLayoutVars>
      </dgm:prSet>
      <dgm:spPr/>
      <dgm:t>
        <a:bodyPr/>
        <a:lstStyle/>
        <a:p>
          <a:endParaRPr lang="en-US"/>
        </a:p>
      </dgm:t>
    </dgm:pt>
    <dgm:pt modelId="{79063D44-F7C8-46BC-AF22-9D1A685E6E73}" type="pres">
      <dgm:prSet presAssocID="{1B8170BA-059A-424E-975D-8B9AA733B5A2}" presName="desTx" presStyleLbl="alignAccFollowNode1" presStyleIdx="3" presStyleCnt="4">
        <dgm:presLayoutVars>
          <dgm:bulletEnabled val="1"/>
        </dgm:presLayoutVars>
      </dgm:prSet>
      <dgm:spPr/>
      <dgm:t>
        <a:bodyPr/>
        <a:lstStyle/>
        <a:p>
          <a:endParaRPr lang="en-US"/>
        </a:p>
      </dgm:t>
    </dgm:pt>
  </dgm:ptLst>
  <dgm:cxnLst>
    <dgm:cxn modelId="{EB4CF22F-FA5A-4ABB-8C13-607CDDA19CC1}" srcId="{1B8170BA-059A-424E-975D-8B9AA733B5A2}" destId="{BF221A95-87E1-44CB-8D8B-A884BE1BABC7}" srcOrd="2" destOrd="0" parTransId="{5C4DC276-4C02-4A6D-80AA-48C1E576A46D}" sibTransId="{40304080-5618-4F5F-9BB8-04697DFDFC14}"/>
    <dgm:cxn modelId="{3BE7F08B-3051-4A23-99D0-5B1E9A1398B3}" srcId="{1B8170BA-059A-424E-975D-8B9AA733B5A2}" destId="{147AC8CC-B87F-4486-8635-E4C0428D5AB9}" srcOrd="1" destOrd="0" parTransId="{0A8F1F80-39C1-4085-B0E5-6F104979CC8B}" sibTransId="{73B2A39E-6332-4AAC-AE78-9A2B87DBEC04}"/>
    <dgm:cxn modelId="{2CAAAD98-D4C0-4DF3-9C29-A9FF5CD6A89C}" srcId="{06884F19-A9CD-4560-8885-7D4B2D9517C6}" destId="{30CA3814-3F4D-4A65-8C32-013664C0D200}" srcOrd="7" destOrd="0" parTransId="{AA229512-09A3-4ED7-8EE5-BA053534E023}" sibTransId="{80D79D3D-2150-4F9B-B0F9-D3486FF5241C}"/>
    <dgm:cxn modelId="{4FF3578F-503C-4997-95AD-85E16BAD38B8}" srcId="{CC28A11F-8D53-491D-AD32-F48530702B72}" destId="{19787CA8-2B6D-401B-98F7-8CEF338F0FB6}" srcOrd="3" destOrd="0" parTransId="{80C7461E-BB40-4580-8A8D-0D2F37C42EE4}" sibTransId="{10ACC30E-70D2-4916-A96A-81B3E77FD465}"/>
    <dgm:cxn modelId="{67D4AD57-1E05-46C5-8BBF-22844A71FF3E}" srcId="{64BF67F5-9F5C-429B-8B68-79C3A480F339}" destId="{8FFAD5CD-ECB2-4343-961E-28585AB6929D}" srcOrd="3" destOrd="0" parTransId="{22D7A18B-8148-443C-824B-5EF193746E3D}" sibTransId="{07138A7D-18FB-4886-B31B-8468C8350208}"/>
    <dgm:cxn modelId="{BAD7FF05-07B1-4F8A-971F-DE22AB5FC2B4}" type="presOf" srcId="{58B04A4C-21AD-4BA4-AF87-3E9E789475D5}" destId="{67A3C2F1-F13A-4180-823C-25455B640FEA}" srcOrd="0" destOrd="1" presId="urn:microsoft.com/office/officeart/2005/8/layout/hList1"/>
    <dgm:cxn modelId="{FEC4143D-599C-4EA8-8E37-81B6A4EFEBD5}" type="presOf" srcId="{2654428A-FE6A-45FD-9D4C-23620C1E4EE4}" destId="{FDF8E9B2-78D9-4A34-8F3A-AF4412480DB5}" srcOrd="0" destOrd="0" presId="urn:microsoft.com/office/officeart/2005/8/layout/hList1"/>
    <dgm:cxn modelId="{83BF0F3B-AF87-409F-85BB-AB53065ED150}" type="presOf" srcId="{B91201E5-C9B6-4DC5-8DF1-0110412E3095}" destId="{FDF8E9B2-78D9-4A34-8F3A-AF4412480DB5}" srcOrd="0" destOrd="1" presId="urn:microsoft.com/office/officeart/2005/8/layout/hList1"/>
    <dgm:cxn modelId="{118F8098-8CD9-477E-B83D-835977E8AA89}" type="presOf" srcId="{A5DFF915-2572-42F4-ADA9-D086EEB9D664}" destId="{79063D44-F7C8-46BC-AF22-9D1A685E6E73}" srcOrd="0" destOrd="0" presId="urn:microsoft.com/office/officeart/2005/8/layout/hList1"/>
    <dgm:cxn modelId="{3AA88F38-4041-49AA-9354-1E47C0F6C136}" srcId="{CC28A11F-8D53-491D-AD32-F48530702B72}" destId="{CC4FABF4-D95B-4646-A958-2CBF29934A48}" srcOrd="4" destOrd="0" parTransId="{3BC7EFAB-7468-4F0A-A793-195A68509F9F}" sibTransId="{FEE891AC-FDF4-43A0-B1E4-8D1612D87441}"/>
    <dgm:cxn modelId="{947E6DF3-5E40-4C6E-82D1-224E93EA9B21}" type="presOf" srcId="{30CA3814-3F4D-4A65-8C32-013664C0D200}" destId="{67A3C2F1-F13A-4180-823C-25455B640FEA}" srcOrd="0" destOrd="7" presId="urn:microsoft.com/office/officeart/2005/8/layout/hList1"/>
    <dgm:cxn modelId="{97291349-F96D-459C-AC3A-48A3E3F96E67}" type="presOf" srcId="{C1C0CA84-9F3D-4F4D-A8C8-CDAED2B6233E}" destId="{3645DF94-D731-4AB9-8273-136D9159AAEF}" srcOrd="0" destOrd="0" presId="urn:microsoft.com/office/officeart/2005/8/layout/hList1"/>
    <dgm:cxn modelId="{7F5EA74E-CBDF-4953-B759-1872F83CB244}" type="presOf" srcId="{11EE26EC-CF8D-4A53-A4D2-7D4E0BE39D0B}" destId="{67A3C2F1-F13A-4180-823C-25455B640FEA}" srcOrd="0" destOrd="2" presId="urn:microsoft.com/office/officeart/2005/8/layout/hList1"/>
    <dgm:cxn modelId="{45A5BD31-61A0-45D7-A13E-9C1ED67D1CC4}" type="presOf" srcId="{CC28A11F-8D53-491D-AD32-F48530702B72}" destId="{D70E3750-9134-421F-AA93-75C5AF1D58B3}" srcOrd="0" destOrd="0" presId="urn:microsoft.com/office/officeart/2005/8/layout/hList1"/>
    <dgm:cxn modelId="{92846742-C7AD-477E-ACDD-701E30ED66C3}" srcId="{06884F19-A9CD-4560-8885-7D4B2D9517C6}" destId="{58B04A4C-21AD-4BA4-AF87-3E9E789475D5}" srcOrd="1" destOrd="0" parTransId="{67CE52EE-97B9-4C32-9EBE-FABB6D8ED47E}" sibTransId="{AA79A635-AA69-4963-BDDE-D92A07FF2B9B}"/>
    <dgm:cxn modelId="{221A8382-B0E7-4522-9E87-1F9213D3955E}" type="presOf" srcId="{5154D14C-335C-4067-BA72-58A4254E4505}" destId="{67A3C2F1-F13A-4180-823C-25455B640FEA}" srcOrd="0" destOrd="3" presId="urn:microsoft.com/office/officeart/2005/8/layout/hList1"/>
    <dgm:cxn modelId="{42A6D3B1-164E-4BB1-9B13-E94EF9916310}" type="presOf" srcId="{DE0F3C0D-E065-40AB-B843-A7125345704C}" destId="{67A3C2F1-F13A-4180-823C-25455B640FEA}" srcOrd="0" destOrd="6" presId="urn:microsoft.com/office/officeart/2005/8/layout/hList1"/>
    <dgm:cxn modelId="{26E39A63-8292-4263-A5FB-15BACBD334CC}" srcId="{C1C0CA84-9F3D-4F4D-A8C8-CDAED2B6233E}" destId="{64BF67F5-9F5C-429B-8B68-79C3A480F339}" srcOrd="2" destOrd="0" parTransId="{7CB39CB2-7EFE-4460-BCFC-0F6383D22017}" sibTransId="{E6A4F059-E541-41F2-91CC-3FA123E946CF}"/>
    <dgm:cxn modelId="{B3FE2552-F81C-400E-A747-8C7B82B7DE91}" srcId="{64BF67F5-9F5C-429B-8B68-79C3A480F339}" destId="{B91201E5-C9B6-4DC5-8DF1-0110412E3095}" srcOrd="1" destOrd="0" parTransId="{3C87EF34-AB59-4B87-902A-770EA9802538}" sibTransId="{4285C62F-93AA-47F4-9059-27603B706511}"/>
    <dgm:cxn modelId="{B7DC8491-E2D1-4328-97AB-844FE3D0BFE9}" type="presOf" srcId="{8FFAD5CD-ECB2-4343-961E-28585AB6929D}" destId="{FDF8E9B2-78D9-4A34-8F3A-AF4412480DB5}" srcOrd="0" destOrd="3" presId="urn:microsoft.com/office/officeart/2005/8/layout/hList1"/>
    <dgm:cxn modelId="{98505BF2-8985-4D63-AC1A-51B2D137DB91}" type="presOf" srcId="{50825944-D334-4A05-813C-1AA47104FCFD}" destId="{67A3C2F1-F13A-4180-823C-25455B640FEA}" srcOrd="0" destOrd="5" presId="urn:microsoft.com/office/officeart/2005/8/layout/hList1"/>
    <dgm:cxn modelId="{EE5B2E1A-F698-4CFF-A8D4-43B083C3E3AD}" type="presOf" srcId="{926529B6-6D89-475F-82DA-226D7EF37DA8}" destId="{81C53A4E-38E1-4572-A4D4-5512736D6A6B}" srcOrd="0" destOrd="2" presId="urn:microsoft.com/office/officeart/2005/8/layout/hList1"/>
    <dgm:cxn modelId="{1708910F-D65C-4438-9277-3018B5F50F8A}" srcId="{06884F19-A9CD-4560-8885-7D4B2D9517C6}" destId="{DE0F3C0D-E065-40AB-B843-A7125345704C}" srcOrd="6" destOrd="0" parTransId="{13250540-6B9A-4E54-8ED7-A507E326C30A}" sibTransId="{7BCCA389-D257-4C32-8642-7789E88D351E}"/>
    <dgm:cxn modelId="{5D89F4C3-E664-48E4-8B91-3FCE7DC5154C}" type="presOf" srcId="{64BF67F5-9F5C-429B-8B68-79C3A480F339}" destId="{26CE83C3-C67E-468D-B718-149937EC9DF8}" srcOrd="0" destOrd="0" presId="urn:microsoft.com/office/officeart/2005/8/layout/hList1"/>
    <dgm:cxn modelId="{4724B262-8AC7-415F-90D4-C72000F121FD}" srcId="{1B8170BA-059A-424E-975D-8B9AA733B5A2}" destId="{A5DFF915-2572-42F4-ADA9-D086EEB9D664}" srcOrd="0" destOrd="0" parTransId="{64A419F3-8A66-40A5-9900-530BDDB4EBB5}" sibTransId="{E60677BA-80E3-4F61-B374-C5A46A5A1577}"/>
    <dgm:cxn modelId="{2F2A4A4B-FC56-4F2D-9ED5-F315E42DCB86}" srcId="{1B8170BA-059A-424E-975D-8B9AA733B5A2}" destId="{3BE187BB-5AF6-49ED-AC10-250BD7318776}" srcOrd="3" destOrd="0" parTransId="{3A298F4F-BAFE-4CA8-90CB-3B8D4D829903}" sibTransId="{6C28556C-6422-4B35-8F34-E19B096A7BF4}"/>
    <dgm:cxn modelId="{3F6FC879-3718-45EF-BA5F-51E56E9EBA84}" srcId="{06884F19-A9CD-4560-8885-7D4B2D9517C6}" destId="{11EE26EC-CF8D-4A53-A4D2-7D4E0BE39D0B}" srcOrd="2" destOrd="0" parTransId="{F61CC155-BB1D-467C-BCA0-1434577E7F3C}" sibTransId="{3335A865-8536-4BCF-9415-948CB5FFE333}"/>
    <dgm:cxn modelId="{C5D4AEE8-75CA-43EC-A42B-F5F80F651E6D}" type="presOf" srcId="{8E2DE19D-C272-47F9-961E-D35C197EF127}" destId="{81C53A4E-38E1-4572-A4D4-5512736D6A6B}" srcOrd="0" destOrd="0" presId="urn:microsoft.com/office/officeart/2005/8/layout/hList1"/>
    <dgm:cxn modelId="{73579F38-9CC0-4E22-AEA2-D2125B2EBFC9}" srcId="{06884F19-A9CD-4560-8885-7D4B2D9517C6}" destId="{50825944-D334-4A05-813C-1AA47104FCFD}" srcOrd="5" destOrd="0" parTransId="{EB3D70E2-5BC3-4F2F-B534-49FBCE83D9A0}" sibTransId="{36173D7C-B601-4256-BFD5-975B843E8696}"/>
    <dgm:cxn modelId="{C7A2B561-1226-43A6-A72E-6DE73966534C}" type="presOf" srcId="{147AC8CC-B87F-4486-8635-E4C0428D5AB9}" destId="{79063D44-F7C8-46BC-AF22-9D1A685E6E73}" srcOrd="0" destOrd="1" presId="urn:microsoft.com/office/officeart/2005/8/layout/hList1"/>
    <dgm:cxn modelId="{0FDC36F0-FCF8-425D-98A8-AEA3E98F2C24}" srcId="{06884F19-A9CD-4560-8885-7D4B2D9517C6}" destId="{318A70E9-0C85-43ED-A7AA-169558FCCD20}" srcOrd="4" destOrd="0" parTransId="{78EE0744-B28A-4B1E-AEEC-A98B1848AA2B}" sibTransId="{D52E0AC1-7A04-42C8-BA55-0113666CD49A}"/>
    <dgm:cxn modelId="{29C08A15-FE69-4B6D-AE43-5291B275A605}" type="presOf" srcId="{CC4FABF4-D95B-4646-A958-2CBF29934A48}" destId="{81C53A4E-38E1-4572-A4D4-5512736D6A6B}" srcOrd="0" destOrd="4" presId="urn:microsoft.com/office/officeart/2005/8/layout/hList1"/>
    <dgm:cxn modelId="{99ACF270-D046-4AB0-BD38-ACA83174F2F7}" type="presOf" srcId="{5B26A6C8-9061-4104-93D1-D3A859C78140}" destId="{FDF8E9B2-78D9-4A34-8F3A-AF4412480DB5}" srcOrd="0" destOrd="2" presId="urn:microsoft.com/office/officeart/2005/8/layout/hList1"/>
    <dgm:cxn modelId="{F58FCF07-9A94-4EB8-B2BE-097AA71B0540}" srcId="{CC28A11F-8D53-491D-AD32-F48530702B72}" destId="{8E2DE19D-C272-47F9-961E-D35C197EF127}" srcOrd="0" destOrd="0" parTransId="{603DF991-E054-467C-BBC4-B5C38CC0CA97}" sibTransId="{F47FE112-CBD5-4686-AB20-7153BE563C34}"/>
    <dgm:cxn modelId="{EB9FCB05-5EC9-4991-A884-DA62BBEF6541}" srcId="{C1C0CA84-9F3D-4F4D-A8C8-CDAED2B6233E}" destId="{1B8170BA-059A-424E-975D-8B9AA733B5A2}" srcOrd="3" destOrd="0" parTransId="{1F280AB8-34FB-4D96-9649-5B57CD69B2ED}" sibTransId="{CFCC5074-2951-48BE-9D19-4E9973EFF906}"/>
    <dgm:cxn modelId="{163E94FE-D4DD-40B8-A27D-AFC07906404F}" srcId="{64BF67F5-9F5C-429B-8B68-79C3A480F339}" destId="{2654428A-FE6A-45FD-9D4C-23620C1E4EE4}" srcOrd="0" destOrd="0" parTransId="{AE1415CF-B168-449C-BC4B-D85608117083}" sibTransId="{B6457002-D018-4128-BC81-6B04C87600AE}"/>
    <dgm:cxn modelId="{4413BBDD-6871-4DE3-AA5A-EC9D20B57BAA}" type="presOf" srcId="{8BB3F450-1057-4ED2-BAB0-5C7230BF6095}" destId="{81C53A4E-38E1-4572-A4D4-5512736D6A6B}" srcOrd="0" destOrd="1" presId="urn:microsoft.com/office/officeart/2005/8/layout/hList1"/>
    <dgm:cxn modelId="{55004AB5-0442-4B63-AB79-F591665D68C9}" type="presOf" srcId="{1B8170BA-059A-424E-975D-8B9AA733B5A2}" destId="{9A84EBB1-04B1-4411-AA9B-45275B1D45CF}" srcOrd="0" destOrd="0" presId="urn:microsoft.com/office/officeart/2005/8/layout/hList1"/>
    <dgm:cxn modelId="{B41104CA-2C81-4F2A-B937-E3B9BAECA29A}" type="presOf" srcId="{A4994FC7-B98E-4FDE-A99F-467D3EE849CF}" destId="{67A3C2F1-F13A-4180-823C-25455B640FEA}" srcOrd="0" destOrd="9" presId="urn:microsoft.com/office/officeart/2005/8/layout/hList1"/>
    <dgm:cxn modelId="{368CCAEC-BAE8-4728-911A-16BCC288EB00}" type="presOf" srcId="{3BE187BB-5AF6-49ED-AC10-250BD7318776}" destId="{79063D44-F7C8-46BC-AF22-9D1A685E6E73}" srcOrd="0" destOrd="3" presId="urn:microsoft.com/office/officeart/2005/8/layout/hList1"/>
    <dgm:cxn modelId="{B1A1E5C6-0AD8-4792-8D79-557B8AB9265B}" srcId="{C1C0CA84-9F3D-4F4D-A8C8-CDAED2B6233E}" destId="{CC28A11F-8D53-491D-AD32-F48530702B72}" srcOrd="1" destOrd="0" parTransId="{DEF7585E-B58B-4525-958B-B6ADC8E5F0AB}" sibTransId="{4E16C4BD-42B0-4ED5-AA30-2002C889B41F}"/>
    <dgm:cxn modelId="{53116A53-59A6-439B-8349-84DDC653D60B}" srcId="{06884F19-A9CD-4560-8885-7D4B2D9517C6}" destId="{E2400654-2082-4B14-B5C0-404004762005}" srcOrd="0" destOrd="0" parTransId="{4ECE2AC1-AE8D-40D0-A166-FD71DBBB3ABE}" sibTransId="{AAE62FD0-E0D2-48CB-96A7-4AB4D19EA855}"/>
    <dgm:cxn modelId="{847BC959-BA05-4167-B946-0CE01177B61D}" srcId="{CC28A11F-8D53-491D-AD32-F48530702B72}" destId="{926529B6-6D89-475F-82DA-226D7EF37DA8}" srcOrd="2" destOrd="0" parTransId="{5EC42874-6686-4F59-9818-F36A9B9D1C8A}" sibTransId="{64715B90-E2FB-4909-BDB8-A80BF5A6244C}"/>
    <dgm:cxn modelId="{35366A11-AA37-4A8E-AD56-5A7BA2177004}" srcId="{64BF67F5-9F5C-429B-8B68-79C3A480F339}" destId="{5B26A6C8-9061-4104-93D1-D3A859C78140}" srcOrd="2" destOrd="0" parTransId="{431DD342-E5DB-4BCF-85FC-D1DB48EC1716}" sibTransId="{C1A35777-D459-431A-9B97-DA53883BFC6E}"/>
    <dgm:cxn modelId="{CAC30788-10AD-4578-B7FB-3B018FF9D6DA}" srcId="{06884F19-A9CD-4560-8885-7D4B2D9517C6}" destId="{2142E8D1-CA23-4A69-85D4-47568DFD88C0}" srcOrd="8" destOrd="0" parTransId="{154C635B-0716-4B4F-867B-5476EE3ADD89}" sibTransId="{D230EAAE-4169-4290-BA10-860E66A1B27C}"/>
    <dgm:cxn modelId="{BB5D1FAB-0B4D-4DE6-8C30-629079D626E4}" type="presOf" srcId="{06884F19-A9CD-4560-8885-7D4B2D9517C6}" destId="{63E112F8-7353-4D80-8F06-51272B4D731F}" srcOrd="0" destOrd="0" presId="urn:microsoft.com/office/officeart/2005/8/layout/hList1"/>
    <dgm:cxn modelId="{68B88E66-5EC9-4265-A382-8A7C7526D558}" srcId="{06884F19-A9CD-4560-8885-7D4B2D9517C6}" destId="{5154D14C-335C-4067-BA72-58A4254E4505}" srcOrd="3" destOrd="0" parTransId="{197058D3-1232-423F-A319-A1BCE317C80A}" sibTransId="{6A182472-A1C4-4858-9A6A-21E0FC40B1E2}"/>
    <dgm:cxn modelId="{6D921708-67E1-4C32-A9F4-A9F025A2C20C}" type="presOf" srcId="{19787CA8-2B6D-401B-98F7-8CEF338F0FB6}" destId="{81C53A4E-38E1-4572-A4D4-5512736D6A6B}" srcOrd="0" destOrd="3" presId="urn:microsoft.com/office/officeart/2005/8/layout/hList1"/>
    <dgm:cxn modelId="{DFCBDF6C-A4C4-480C-ACFE-566A49DAB04E}" type="presOf" srcId="{2142E8D1-CA23-4A69-85D4-47568DFD88C0}" destId="{67A3C2F1-F13A-4180-823C-25455B640FEA}" srcOrd="0" destOrd="8" presId="urn:microsoft.com/office/officeart/2005/8/layout/hList1"/>
    <dgm:cxn modelId="{DF1BF925-432F-4F02-96D4-E351A4479471}" srcId="{CC28A11F-8D53-491D-AD32-F48530702B72}" destId="{0CDEA3F1-7AA5-4D2A-BE19-F36175C843CD}" srcOrd="5" destOrd="0" parTransId="{4734D4ED-0D6E-4452-AAA9-6D68C83E7D7C}" sibTransId="{35EA4DD2-FF11-4B26-9A0B-0C9026EDB80A}"/>
    <dgm:cxn modelId="{9F1E3BC2-A749-4817-8A80-5F1DC3922D95}" type="presOf" srcId="{318A70E9-0C85-43ED-A7AA-169558FCCD20}" destId="{67A3C2F1-F13A-4180-823C-25455B640FEA}" srcOrd="0" destOrd="4" presId="urn:microsoft.com/office/officeart/2005/8/layout/hList1"/>
    <dgm:cxn modelId="{5E7EB5D6-09CC-4276-B508-461837023734}" type="presOf" srcId="{BF221A95-87E1-44CB-8D8B-A884BE1BABC7}" destId="{79063D44-F7C8-46BC-AF22-9D1A685E6E73}" srcOrd="0" destOrd="2" presId="urn:microsoft.com/office/officeart/2005/8/layout/hList1"/>
    <dgm:cxn modelId="{F200A75E-52DA-47BD-8307-E845632B2D3D}" srcId="{C1C0CA84-9F3D-4F4D-A8C8-CDAED2B6233E}" destId="{06884F19-A9CD-4560-8885-7D4B2D9517C6}" srcOrd="0" destOrd="0" parTransId="{B21DE23E-76DD-4F21-9DFD-6E946185EF0A}" sibTransId="{110DFC11-6DBA-4EBB-9324-9ACC0B688A33}"/>
    <dgm:cxn modelId="{2D20DFFC-F1DF-48B1-A302-49F51DA5BC24}" srcId="{06884F19-A9CD-4560-8885-7D4B2D9517C6}" destId="{A4994FC7-B98E-4FDE-A99F-467D3EE849CF}" srcOrd="9" destOrd="0" parTransId="{2A1BA5FF-D062-4584-B266-5A5519B702F7}" sibTransId="{0BB92F93-7632-4345-8A11-FD6583259CF1}"/>
    <dgm:cxn modelId="{2A09577C-5417-4C62-9B7F-E0C45D0DE315}" type="presOf" srcId="{0CDEA3F1-7AA5-4D2A-BE19-F36175C843CD}" destId="{81C53A4E-38E1-4572-A4D4-5512736D6A6B}" srcOrd="0" destOrd="5" presId="urn:microsoft.com/office/officeart/2005/8/layout/hList1"/>
    <dgm:cxn modelId="{21FDDC74-801B-4321-9363-7CFC022277FF}" type="presOf" srcId="{E2400654-2082-4B14-B5C0-404004762005}" destId="{67A3C2F1-F13A-4180-823C-25455B640FEA}" srcOrd="0" destOrd="0" presId="urn:microsoft.com/office/officeart/2005/8/layout/hList1"/>
    <dgm:cxn modelId="{B1700340-1457-4A59-BB13-736115F95EE4}" srcId="{CC28A11F-8D53-491D-AD32-F48530702B72}" destId="{8BB3F450-1057-4ED2-BAB0-5C7230BF6095}" srcOrd="1" destOrd="0" parTransId="{F1D60E49-1BE9-482C-A21D-FAD356C23AA9}" sibTransId="{83111544-3986-48F4-8361-9747B32498A6}"/>
    <dgm:cxn modelId="{F5851ADE-8B6F-4BA5-B8FD-DAD1B25BFC4A}" type="presParOf" srcId="{3645DF94-D731-4AB9-8273-136D9159AAEF}" destId="{7E3A2FD9-200C-4578-8653-28F5B4DB7577}" srcOrd="0" destOrd="0" presId="urn:microsoft.com/office/officeart/2005/8/layout/hList1"/>
    <dgm:cxn modelId="{8AEF3384-415B-42F0-8475-2C6CB172012F}" type="presParOf" srcId="{7E3A2FD9-200C-4578-8653-28F5B4DB7577}" destId="{63E112F8-7353-4D80-8F06-51272B4D731F}" srcOrd="0" destOrd="0" presId="urn:microsoft.com/office/officeart/2005/8/layout/hList1"/>
    <dgm:cxn modelId="{FA03D603-76DE-4A51-9574-743690F00F1B}" type="presParOf" srcId="{7E3A2FD9-200C-4578-8653-28F5B4DB7577}" destId="{67A3C2F1-F13A-4180-823C-25455B640FEA}" srcOrd="1" destOrd="0" presId="urn:microsoft.com/office/officeart/2005/8/layout/hList1"/>
    <dgm:cxn modelId="{B19EF39C-86D8-4CC8-96CA-8FCF75453079}" type="presParOf" srcId="{3645DF94-D731-4AB9-8273-136D9159AAEF}" destId="{69AFD8AD-CADC-46CD-9E4B-2B9FCE155743}" srcOrd="1" destOrd="0" presId="urn:microsoft.com/office/officeart/2005/8/layout/hList1"/>
    <dgm:cxn modelId="{FB361F23-0BF0-4CAF-8972-0420A759465D}" type="presParOf" srcId="{3645DF94-D731-4AB9-8273-136D9159AAEF}" destId="{75816272-20F8-46B9-A9A7-1401E7EDDCC7}" srcOrd="2" destOrd="0" presId="urn:microsoft.com/office/officeart/2005/8/layout/hList1"/>
    <dgm:cxn modelId="{5338161A-4A00-45B4-8F92-5CD3E6FF1C41}" type="presParOf" srcId="{75816272-20F8-46B9-A9A7-1401E7EDDCC7}" destId="{D70E3750-9134-421F-AA93-75C5AF1D58B3}" srcOrd="0" destOrd="0" presId="urn:microsoft.com/office/officeart/2005/8/layout/hList1"/>
    <dgm:cxn modelId="{11C683BC-7458-4186-AD37-B20C3E373DF3}" type="presParOf" srcId="{75816272-20F8-46B9-A9A7-1401E7EDDCC7}" destId="{81C53A4E-38E1-4572-A4D4-5512736D6A6B}" srcOrd="1" destOrd="0" presId="urn:microsoft.com/office/officeart/2005/8/layout/hList1"/>
    <dgm:cxn modelId="{DBE7FDD1-90CC-4B28-9D74-8482876CED52}" type="presParOf" srcId="{3645DF94-D731-4AB9-8273-136D9159AAEF}" destId="{EA902A51-6126-42D1-A167-ED07CB634DEB}" srcOrd="3" destOrd="0" presId="urn:microsoft.com/office/officeart/2005/8/layout/hList1"/>
    <dgm:cxn modelId="{07CBA14A-F849-4B21-8B87-DFB4163F0F7D}" type="presParOf" srcId="{3645DF94-D731-4AB9-8273-136D9159AAEF}" destId="{83D15152-D5F3-4DC2-87C1-2ED7F55B70CF}" srcOrd="4" destOrd="0" presId="urn:microsoft.com/office/officeart/2005/8/layout/hList1"/>
    <dgm:cxn modelId="{96D6C73B-18AB-475D-9FF6-1814846F55AF}" type="presParOf" srcId="{83D15152-D5F3-4DC2-87C1-2ED7F55B70CF}" destId="{26CE83C3-C67E-468D-B718-149937EC9DF8}" srcOrd="0" destOrd="0" presId="urn:microsoft.com/office/officeart/2005/8/layout/hList1"/>
    <dgm:cxn modelId="{1DF0D557-325B-4D1C-A606-00423001BE5C}" type="presParOf" srcId="{83D15152-D5F3-4DC2-87C1-2ED7F55B70CF}" destId="{FDF8E9B2-78D9-4A34-8F3A-AF4412480DB5}" srcOrd="1" destOrd="0" presId="urn:microsoft.com/office/officeart/2005/8/layout/hList1"/>
    <dgm:cxn modelId="{31FDB50B-B540-4A54-B663-10CC8A4361DC}" type="presParOf" srcId="{3645DF94-D731-4AB9-8273-136D9159AAEF}" destId="{8E09D6EB-8DCD-49B3-A6D7-984F0D005ED0}" srcOrd="5" destOrd="0" presId="urn:microsoft.com/office/officeart/2005/8/layout/hList1"/>
    <dgm:cxn modelId="{815F156D-3C0A-468D-8C28-D7E45B8336ED}" type="presParOf" srcId="{3645DF94-D731-4AB9-8273-136D9159AAEF}" destId="{18E10C8E-2A8C-4B91-B8D8-3CC5FFE352F5}" srcOrd="6" destOrd="0" presId="urn:microsoft.com/office/officeart/2005/8/layout/hList1"/>
    <dgm:cxn modelId="{333A9569-A405-40B9-9EA7-5A77C9BDC645}" type="presParOf" srcId="{18E10C8E-2A8C-4B91-B8D8-3CC5FFE352F5}" destId="{9A84EBB1-04B1-4411-AA9B-45275B1D45CF}" srcOrd="0" destOrd="0" presId="urn:microsoft.com/office/officeart/2005/8/layout/hList1"/>
    <dgm:cxn modelId="{64B3EEAC-40F8-48C4-A7BB-77557B29A7FE}" type="presParOf" srcId="{18E10C8E-2A8C-4B91-B8D8-3CC5FFE352F5}" destId="{79063D44-F7C8-46BC-AF22-9D1A685E6E73}"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112F8-7353-4D80-8F06-51272B4D731F}">
      <dsp:nvSpPr>
        <dsp:cNvPr id="0" name=""/>
        <dsp:cNvSpPr/>
      </dsp:nvSpPr>
      <dsp:spPr>
        <a:xfrm>
          <a:off x="2900" y="93649"/>
          <a:ext cx="1744219" cy="609665"/>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Top 10 states based on Composite Indicator Scores (in ranked order)</a:t>
          </a:r>
        </a:p>
      </dsp:txBody>
      <dsp:txXfrm>
        <a:off x="2900" y="93649"/>
        <a:ext cx="1744219" cy="609665"/>
      </dsp:txXfrm>
    </dsp:sp>
    <dsp:sp modelId="{67A3C2F1-F13A-4180-823C-25455B640FEA}">
      <dsp:nvSpPr>
        <dsp:cNvPr id="0" name=""/>
        <dsp:cNvSpPr/>
      </dsp:nvSpPr>
      <dsp:spPr>
        <a:xfrm>
          <a:off x="2900" y="703315"/>
          <a:ext cx="1744219" cy="21081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b="1" kern="1200">
              <a:solidFill>
                <a:sysClr val="windowText" lastClr="000000"/>
              </a:solidFill>
            </a:rPr>
            <a:t>Maryland </a:t>
          </a:r>
        </a:p>
        <a:p>
          <a:pPr marL="114300" lvl="1" indent="-114300" algn="l" defTabSz="533400">
            <a:lnSpc>
              <a:spcPct val="90000"/>
            </a:lnSpc>
            <a:spcBef>
              <a:spcPct val="0"/>
            </a:spcBef>
            <a:spcAft>
              <a:spcPct val="15000"/>
            </a:spcAft>
            <a:buChar char="••"/>
          </a:pPr>
          <a:r>
            <a:rPr lang="en-US" sz="1200" b="1" kern="1200">
              <a:solidFill>
                <a:sysClr val="windowText" lastClr="000000"/>
              </a:solidFill>
            </a:rPr>
            <a:t>New Hampshire </a:t>
          </a:r>
        </a:p>
        <a:p>
          <a:pPr marL="114300" lvl="1" indent="-114300" algn="l" defTabSz="533400">
            <a:lnSpc>
              <a:spcPct val="90000"/>
            </a:lnSpc>
            <a:spcBef>
              <a:spcPct val="0"/>
            </a:spcBef>
            <a:spcAft>
              <a:spcPct val="15000"/>
            </a:spcAft>
            <a:buChar char="••"/>
          </a:pPr>
          <a:r>
            <a:rPr lang="en-US" sz="1200" b="0" kern="1200"/>
            <a:t>Vermont</a:t>
          </a:r>
        </a:p>
        <a:p>
          <a:pPr marL="114300" lvl="1" indent="-114300" algn="l" defTabSz="533400">
            <a:lnSpc>
              <a:spcPct val="90000"/>
            </a:lnSpc>
            <a:spcBef>
              <a:spcPct val="0"/>
            </a:spcBef>
            <a:spcAft>
              <a:spcPct val="15000"/>
            </a:spcAft>
            <a:buChar char="••"/>
          </a:pPr>
          <a:r>
            <a:rPr lang="en-US" sz="1200" b="0" kern="1200"/>
            <a:t>Oregon </a:t>
          </a:r>
        </a:p>
        <a:p>
          <a:pPr marL="114300" lvl="1" indent="-114300" algn="l" defTabSz="533400">
            <a:lnSpc>
              <a:spcPct val="90000"/>
            </a:lnSpc>
            <a:spcBef>
              <a:spcPct val="0"/>
            </a:spcBef>
            <a:spcAft>
              <a:spcPct val="15000"/>
            </a:spcAft>
            <a:buChar char="••"/>
          </a:pPr>
          <a:r>
            <a:rPr lang="en-US" sz="1200" b="0" kern="1200"/>
            <a:t>Washington </a:t>
          </a:r>
        </a:p>
        <a:p>
          <a:pPr marL="114300" lvl="1" indent="-114300" algn="l" defTabSz="533400">
            <a:lnSpc>
              <a:spcPct val="90000"/>
            </a:lnSpc>
            <a:spcBef>
              <a:spcPct val="0"/>
            </a:spcBef>
            <a:spcAft>
              <a:spcPct val="15000"/>
            </a:spcAft>
            <a:buChar char="••"/>
          </a:pPr>
          <a:r>
            <a:rPr lang="en-US" sz="1200" b="0" kern="1200"/>
            <a:t>Iowa</a:t>
          </a:r>
        </a:p>
        <a:p>
          <a:pPr marL="114300" lvl="1" indent="-114300" algn="l" defTabSz="533400">
            <a:lnSpc>
              <a:spcPct val="90000"/>
            </a:lnSpc>
            <a:spcBef>
              <a:spcPct val="0"/>
            </a:spcBef>
            <a:spcAft>
              <a:spcPct val="15000"/>
            </a:spcAft>
            <a:buChar char="••"/>
          </a:pPr>
          <a:r>
            <a:rPr lang="en-US" sz="1200" b="0" kern="1200"/>
            <a:t>Oklahoma</a:t>
          </a:r>
        </a:p>
        <a:p>
          <a:pPr marL="114300" lvl="1" indent="-114300" algn="l" defTabSz="533400">
            <a:lnSpc>
              <a:spcPct val="90000"/>
            </a:lnSpc>
            <a:spcBef>
              <a:spcPct val="0"/>
            </a:spcBef>
            <a:spcAft>
              <a:spcPct val="15000"/>
            </a:spcAft>
            <a:buChar char="••"/>
          </a:pPr>
          <a:r>
            <a:rPr lang="en-US" sz="1200" b="1" kern="1200"/>
            <a:t>South Dakota </a:t>
          </a:r>
        </a:p>
        <a:p>
          <a:pPr marL="114300" lvl="1" indent="-114300" algn="l" defTabSz="533400">
            <a:lnSpc>
              <a:spcPct val="90000"/>
            </a:lnSpc>
            <a:spcBef>
              <a:spcPct val="0"/>
            </a:spcBef>
            <a:spcAft>
              <a:spcPct val="15000"/>
            </a:spcAft>
            <a:buChar char="••"/>
          </a:pPr>
          <a:r>
            <a:rPr lang="en-US" sz="1200" b="1" kern="1200"/>
            <a:t>Colorado</a:t>
          </a:r>
        </a:p>
        <a:p>
          <a:pPr marL="114300" lvl="1" indent="-114300" algn="l" defTabSz="533400">
            <a:lnSpc>
              <a:spcPct val="90000"/>
            </a:lnSpc>
            <a:spcBef>
              <a:spcPct val="0"/>
            </a:spcBef>
            <a:spcAft>
              <a:spcPct val="15000"/>
            </a:spcAft>
            <a:buChar char="••"/>
          </a:pPr>
          <a:r>
            <a:rPr lang="en-US" sz="1200" b="0" kern="1200"/>
            <a:t>Delaware</a:t>
          </a:r>
        </a:p>
      </dsp:txBody>
      <dsp:txXfrm>
        <a:off x="2900" y="703315"/>
        <a:ext cx="1744219" cy="2108160"/>
      </dsp:txXfrm>
    </dsp:sp>
    <dsp:sp modelId="{D70E3750-9134-421F-AA93-75C5AF1D58B3}">
      <dsp:nvSpPr>
        <dsp:cNvPr id="0" name=""/>
        <dsp:cNvSpPr/>
      </dsp:nvSpPr>
      <dsp:spPr>
        <a:xfrm>
          <a:off x="1991310" y="93649"/>
          <a:ext cx="1744219" cy="609665"/>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Top IDD System Performers</a:t>
          </a:r>
        </a:p>
      </dsp:txBody>
      <dsp:txXfrm>
        <a:off x="1991310" y="93649"/>
        <a:ext cx="1744219" cy="609665"/>
      </dsp:txXfrm>
    </dsp:sp>
    <dsp:sp modelId="{81C53A4E-38E1-4572-A4D4-5512736D6A6B}">
      <dsp:nvSpPr>
        <dsp:cNvPr id="0" name=""/>
        <dsp:cNvSpPr/>
      </dsp:nvSpPr>
      <dsp:spPr>
        <a:xfrm>
          <a:off x="1991310" y="703315"/>
          <a:ext cx="1744219" cy="21081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b="1" kern="1200">
              <a:solidFill>
                <a:sysClr val="windowText" lastClr="000000"/>
              </a:solidFill>
            </a:rPr>
            <a:t>Maryland</a:t>
          </a:r>
          <a:r>
            <a:rPr lang="en-US" sz="1200" b="0" kern="1200"/>
            <a:t>	</a:t>
          </a:r>
        </a:p>
        <a:p>
          <a:pPr marL="114300" lvl="1" indent="-114300" algn="l" defTabSz="533400">
            <a:lnSpc>
              <a:spcPct val="90000"/>
            </a:lnSpc>
            <a:spcBef>
              <a:spcPct val="0"/>
            </a:spcBef>
            <a:spcAft>
              <a:spcPct val="15000"/>
            </a:spcAft>
            <a:buChar char="••"/>
          </a:pPr>
          <a:r>
            <a:rPr lang="en-US" sz="1200" b="1" kern="1200"/>
            <a:t>New Hampshire</a:t>
          </a:r>
        </a:p>
        <a:p>
          <a:pPr marL="114300" lvl="1" indent="-114300" algn="l" defTabSz="533400">
            <a:lnSpc>
              <a:spcPct val="90000"/>
            </a:lnSpc>
            <a:spcBef>
              <a:spcPct val="0"/>
            </a:spcBef>
            <a:spcAft>
              <a:spcPct val="15000"/>
            </a:spcAft>
            <a:buChar char="••"/>
          </a:pPr>
          <a:r>
            <a:rPr lang="en-US" sz="1200" b="0" kern="1200"/>
            <a:t>Vermont</a:t>
          </a:r>
        </a:p>
        <a:p>
          <a:pPr marL="114300" lvl="1" indent="-114300" algn="l" defTabSz="533400">
            <a:lnSpc>
              <a:spcPct val="90000"/>
            </a:lnSpc>
            <a:spcBef>
              <a:spcPct val="0"/>
            </a:spcBef>
            <a:spcAft>
              <a:spcPct val="15000"/>
            </a:spcAft>
            <a:buChar char="••"/>
          </a:pPr>
          <a:r>
            <a:rPr lang="en-US" sz="1200" b="0" kern="1200"/>
            <a:t>Oregon</a:t>
          </a:r>
        </a:p>
        <a:p>
          <a:pPr marL="114300" lvl="1" indent="-114300" algn="l" defTabSz="533400">
            <a:lnSpc>
              <a:spcPct val="90000"/>
            </a:lnSpc>
            <a:spcBef>
              <a:spcPct val="0"/>
            </a:spcBef>
            <a:spcAft>
              <a:spcPct val="15000"/>
            </a:spcAft>
            <a:buChar char="••"/>
          </a:pPr>
          <a:r>
            <a:rPr lang="en-US" sz="1200" b="0" kern="1200"/>
            <a:t>Washington</a:t>
          </a:r>
        </a:p>
        <a:p>
          <a:pPr marL="114300" lvl="1" indent="-114300" algn="l" defTabSz="533400">
            <a:lnSpc>
              <a:spcPct val="90000"/>
            </a:lnSpc>
            <a:spcBef>
              <a:spcPct val="0"/>
            </a:spcBef>
            <a:spcAft>
              <a:spcPct val="15000"/>
            </a:spcAft>
            <a:buChar char="••"/>
          </a:pPr>
          <a:r>
            <a:rPr lang="en-US" sz="1200" b="0" kern="1200"/>
            <a:t>Oklahoma</a:t>
          </a:r>
        </a:p>
      </dsp:txBody>
      <dsp:txXfrm>
        <a:off x="1991310" y="703315"/>
        <a:ext cx="1744219" cy="2108160"/>
      </dsp:txXfrm>
    </dsp:sp>
    <dsp:sp modelId="{26CE83C3-C67E-468D-B718-149937EC9DF8}">
      <dsp:nvSpPr>
        <dsp:cNvPr id="0" name=""/>
        <dsp:cNvSpPr/>
      </dsp:nvSpPr>
      <dsp:spPr>
        <a:xfrm>
          <a:off x="3979720" y="93649"/>
          <a:ext cx="1744219" cy="609665"/>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Top  VR system performers</a:t>
          </a:r>
        </a:p>
      </dsp:txBody>
      <dsp:txXfrm>
        <a:off x="3979720" y="93649"/>
        <a:ext cx="1744219" cy="609665"/>
      </dsp:txXfrm>
    </dsp:sp>
    <dsp:sp modelId="{FDF8E9B2-78D9-4A34-8F3A-AF4412480DB5}">
      <dsp:nvSpPr>
        <dsp:cNvPr id="0" name=""/>
        <dsp:cNvSpPr/>
      </dsp:nvSpPr>
      <dsp:spPr>
        <a:xfrm>
          <a:off x="3979720" y="703315"/>
          <a:ext cx="1744219" cy="21081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b="1" kern="1200"/>
            <a:t>Maryland</a:t>
          </a:r>
        </a:p>
        <a:p>
          <a:pPr marL="114300" lvl="1" indent="-114300" algn="l" defTabSz="533400">
            <a:lnSpc>
              <a:spcPct val="90000"/>
            </a:lnSpc>
            <a:spcBef>
              <a:spcPct val="0"/>
            </a:spcBef>
            <a:spcAft>
              <a:spcPct val="15000"/>
            </a:spcAft>
            <a:buChar char="••"/>
          </a:pPr>
          <a:r>
            <a:rPr lang="en-US" sz="1200" b="1" kern="1200"/>
            <a:t>South Dakota</a:t>
          </a:r>
        </a:p>
        <a:p>
          <a:pPr marL="114300" lvl="1" indent="-114300" algn="l" defTabSz="533400">
            <a:lnSpc>
              <a:spcPct val="90000"/>
            </a:lnSpc>
            <a:spcBef>
              <a:spcPct val="0"/>
            </a:spcBef>
            <a:spcAft>
              <a:spcPct val="15000"/>
            </a:spcAft>
            <a:buChar char="••"/>
          </a:pPr>
          <a:r>
            <a:rPr lang="en-US" sz="1200" b="1" kern="1200"/>
            <a:t>Colorado</a:t>
          </a:r>
        </a:p>
        <a:p>
          <a:pPr marL="114300" lvl="1" indent="-114300" algn="l" defTabSz="533400">
            <a:lnSpc>
              <a:spcPct val="90000"/>
            </a:lnSpc>
            <a:spcBef>
              <a:spcPct val="0"/>
            </a:spcBef>
            <a:spcAft>
              <a:spcPct val="15000"/>
            </a:spcAft>
            <a:buChar char="••"/>
          </a:pPr>
          <a:r>
            <a:rPr lang="en-US" sz="1200" b="0" kern="1200"/>
            <a:t>Delaware</a:t>
          </a:r>
        </a:p>
      </dsp:txBody>
      <dsp:txXfrm>
        <a:off x="3979720" y="703315"/>
        <a:ext cx="1744219" cy="2108160"/>
      </dsp:txXfrm>
    </dsp:sp>
    <dsp:sp modelId="{9A84EBB1-04B1-4411-AA9B-45275B1D45CF}">
      <dsp:nvSpPr>
        <dsp:cNvPr id="0" name=""/>
        <dsp:cNvSpPr/>
      </dsp:nvSpPr>
      <dsp:spPr>
        <a:xfrm>
          <a:off x="5968130" y="93649"/>
          <a:ext cx="1744219" cy="609665"/>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Top education system performers</a:t>
          </a:r>
        </a:p>
      </dsp:txBody>
      <dsp:txXfrm>
        <a:off x="5968130" y="93649"/>
        <a:ext cx="1744219" cy="609665"/>
      </dsp:txXfrm>
    </dsp:sp>
    <dsp:sp modelId="{79063D44-F7C8-46BC-AF22-9D1A685E6E73}">
      <dsp:nvSpPr>
        <dsp:cNvPr id="0" name=""/>
        <dsp:cNvSpPr/>
      </dsp:nvSpPr>
      <dsp:spPr>
        <a:xfrm>
          <a:off x="5968130" y="703315"/>
          <a:ext cx="1744219" cy="21081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b="1" kern="1200"/>
            <a:t>New Hampshire</a:t>
          </a:r>
        </a:p>
        <a:p>
          <a:pPr marL="114300" lvl="1" indent="-114300" algn="l" defTabSz="533400">
            <a:lnSpc>
              <a:spcPct val="90000"/>
            </a:lnSpc>
            <a:spcBef>
              <a:spcPct val="0"/>
            </a:spcBef>
            <a:spcAft>
              <a:spcPct val="15000"/>
            </a:spcAft>
            <a:buChar char="••"/>
          </a:pPr>
          <a:r>
            <a:rPr lang="en-US" sz="1200" b="0" kern="1200"/>
            <a:t>Iowa</a:t>
          </a:r>
        </a:p>
        <a:p>
          <a:pPr marL="114300" lvl="1" indent="-114300" algn="l" defTabSz="533400">
            <a:lnSpc>
              <a:spcPct val="90000"/>
            </a:lnSpc>
            <a:spcBef>
              <a:spcPct val="0"/>
            </a:spcBef>
            <a:spcAft>
              <a:spcPct val="15000"/>
            </a:spcAft>
            <a:buChar char="••"/>
          </a:pPr>
          <a:r>
            <a:rPr lang="en-US" sz="1200" b="1" kern="1200"/>
            <a:t>South Dakota</a:t>
          </a:r>
        </a:p>
        <a:p>
          <a:pPr marL="114300" lvl="1" indent="-114300" algn="l" defTabSz="533400">
            <a:lnSpc>
              <a:spcPct val="90000"/>
            </a:lnSpc>
            <a:spcBef>
              <a:spcPct val="0"/>
            </a:spcBef>
            <a:spcAft>
              <a:spcPct val="15000"/>
            </a:spcAft>
            <a:buChar char="••"/>
          </a:pPr>
          <a:r>
            <a:rPr lang="en-US" sz="1200" b="1" kern="1200"/>
            <a:t>Colorado</a:t>
          </a:r>
        </a:p>
      </dsp:txBody>
      <dsp:txXfrm>
        <a:off x="5968130" y="703315"/>
        <a:ext cx="1744219" cy="21081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E4"/>
    <w:rsid w:val="002D30E4"/>
    <w:rsid w:val="005C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5E8D9824894057B34BB4BB1E105012">
    <w:name w:val="D85E8D9824894057B34BB4BB1E105012"/>
    <w:rsid w:val="002D3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 Winsor</dc:creator>
  <cp:keywords/>
  <dc:description/>
  <cp:lastModifiedBy>Allison Cohen Hall</cp:lastModifiedBy>
  <cp:revision>5</cp:revision>
  <dcterms:created xsi:type="dcterms:W3CDTF">2017-08-23T16:00:00Z</dcterms:created>
  <dcterms:modified xsi:type="dcterms:W3CDTF">2017-08-25T15:17:00Z</dcterms:modified>
</cp:coreProperties>
</file>